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3753" w14:textId="26A07EC9" w:rsidR="00B34AF0" w:rsidRPr="00692DEB" w:rsidRDefault="00B34AF0" w:rsidP="00B34AF0">
      <w:pPr>
        <w:pStyle w:val="CRCoverPage"/>
        <w:outlineLvl w:val="0"/>
        <w:rPr>
          <w:b/>
          <w:sz w:val="24"/>
          <w:lang w:val="en-US"/>
        </w:rPr>
      </w:pPr>
      <w:r w:rsidRPr="00692DEB">
        <w:rPr>
          <w:rFonts w:cs="Arial"/>
          <w:b/>
          <w:sz w:val="24"/>
          <w:lang w:val="en-US"/>
        </w:rPr>
        <w:t>3GPP TSG RAN WG2 Meeting #1</w:t>
      </w:r>
      <w:r>
        <w:rPr>
          <w:rFonts w:cs="Arial"/>
          <w:b/>
          <w:sz w:val="24"/>
          <w:lang w:val="en-US"/>
        </w:rPr>
        <w:t>23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806183">
        <w:rPr>
          <w:rFonts w:cs="Arial"/>
          <w:b/>
          <w:sz w:val="24"/>
          <w:lang w:val="en-US"/>
        </w:rPr>
        <w:t>R2-23</w:t>
      </w:r>
      <w:r w:rsidR="00D50E8B">
        <w:rPr>
          <w:rFonts w:cs="Arial"/>
          <w:b/>
          <w:sz w:val="24"/>
          <w:lang w:val="en-US"/>
        </w:rPr>
        <w:t>07820</w:t>
      </w:r>
      <w:r w:rsidRPr="00692DEB">
        <w:rPr>
          <w:rFonts w:cs="Arial"/>
          <w:b/>
          <w:sz w:val="24"/>
          <w:lang w:val="en-US"/>
        </w:rPr>
        <w:br/>
      </w:r>
      <w:r>
        <w:rPr>
          <w:b/>
          <w:sz w:val="24"/>
          <w:szCs w:val="24"/>
          <w:lang w:val="en-US"/>
        </w:rPr>
        <w:t>Toulouse, France</w:t>
      </w:r>
      <w:r w:rsidRPr="00692DEB">
        <w:rPr>
          <w:b/>
          <w:sz w:val="24"/>
          <w:szCs w:val="24"/>
          <w:lang w:val="en-US"/>
        </w:rPr>
        <w:t xml:space="preserve">, </w:t>
      </w:r>
      <w:r>
        <w:rPr>
          <w:b/>
          <w:sz w:val="24"/>
          <w:szCs w:val="24"/>
          <w:lang w:val="en-US"/>
        </w:rPr>
        <w:t>Aug 21- Aug 25</w:t>
      </w:r>
      <w:r w:rsidRPr="00692DEB">
        <w:rPr>
          <w:b/>
          <w:sz w:val="24"/>
          <w:szCs w:val="24"/>
          <w:lang w:val="en-US"/>
        </w:rPr>
        <w:t xml:space="preserve">                             </w:t>
      </w:r>
    </w:p>
    <w:p w14:paraId="74BFE115" w14:textId="77777777" w:rsidR="00D00627" w:rsidRPr="00692DEB" w:rsidRDefault="00D00627" w:rsidP="00D00627">
      <w:pPr>
        <w:pStyle w:val="CRCoverPage"/>
        <w:outlineLvl w:val="0"/>
        <w:rPr>
          <w:b/>
          <w:sz w:val="24"/>
          <w:lang w:val="en-US"/>
        </w:rPr>
      </w:pPr>
    </w:p>
    <w:p w14:paraId="002AD3C6" w14:textId="59FCA901"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13ABF">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113ABF">
        <w:rPr>
          <w:rFonts w:ascii="Arial" w:eastAsia="MS Mincho" w:hAnsi="Arial" w:cs="Arial"/>
          <w:b/>
          <w:bCs/>
          <w:color w:val="auto"/>
          <w:sz w:val="24"/>
          <w:lang w:eastAsia="en-US"/>
        </w:rPr>
        <w:t>.1</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53EE3B53"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964F7">
        <w:rPr>
          <w:rFonts w:ascii="Arial" w:eastAsia="Times New Roman" w:hAnsi="Arial" w:cs="Arial"/>
          <w:b/>
          <w:bCs/>
          <w:color w:val="auto"/>
          <w:sz w:val="24"/>
          <w:lang w:eastAsia="zh-CN"/>
        </w:rPr>
        <w:t>CONNECTED mobility enhancement</w:t>
      </w:r>
      <w:r w:rsidR="004355A0">
        <w:rPr>
          <w:rFonts w:ascii="Arial" w:eastAsia="Times New Roman" w:hAnsi="Arial" w:cs="Arial"/>
          <w:b/>
          <w:bCs/>
          <w:color w:val="auto"/>
          <w:sz w:val="24"/>
          <w:lang w:eastAsia="zh-CN"/>
        </w:rPr>
        <w:t xml:space="preserve"> </w:t>
      </w:r>
      <w:r w:rsidR="00537A8A" w:rsidRPr="00537A8A">
        <w:rPr>
          <w:rFonts w:ascii="Arial" w:eastAsia="Times New Roman" w:hAnsi="Arial" w:cs="Arial"/>
          <w:b/>
          <w:bCs/>
          <w:color w:val="auto"/>
          <w:sz w:val="24"/>
          <w:lang w:eastAsia="en-US"/>
        </w:rPr>
        <w:t>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E3C31" w:rsidRPr="001E3C31">
        <w:rPr>
          <w:rFonts w:ascii="Arial" w:eastAsia="Times New Roman" w:hAnsi="Arial" w:cs="Arial"/>
          <w:b/>
          <w:bCs/>
          <w:color w:val="auto"/>
          <w:sz w:val="24"/>
          <w:lang w:eastAsia="en-US"/>
        </w:rPr>
        <w:t>NR_mobile_IAB</w:t>
      </w:r>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332283B9" w14:textId="79FAFA66" w:rsidR="000073EA" w:rsidRPr="005558AD" w:rsidRDefault="000073EA" w:rsidP="005558AD">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6FE619DC" w14:textId="77777777" w:rsidR="005558AD" w:rsidRDefault="005558AD" w:rsidP="00EE3A82">
      <w:pPr>
        <w:pStyle w:val="NO"/>
        <w:ind w:left="0" w:firstLine="0"/>
        <w:rPr>
          <w:lang w:eastAsia="zh-CN"/>
        </w:rPr>
      </w:pPr>
    </w:p>
    <w:p w14:paraId="3BA93180" w14:textId="0E249A73" w:rsidR="00DC08DC" w:rsidRDefault="00DC08DC" w:rsidP="00DC08DC">
      <w:pPr>
        <w:pStyle w:val="NO"/>
        <w:ind w:left="0" w:firstLine="0"/>
        <w:rPr>
          <w:lang w:eastAsia="zh-CN"/>
        </w:rPr>
      </w:pPr>
      <w:r>
        <w:rPr>
          <w:lang w:eastAsia="zh-CN"/>
        </w:rPr>
        <w:t xml:space="preserve">In RAN2#121b-e </w:t>
      </w:r>
      <w:r w:rsidR="00DE111F">
        <w:rPr>
          <w:lang w:eastAsia="zh-CN"/>
        </w:rPr>
        <w:t xml:space="preserve">[2] and RAN2#122 </w:t>
      </w:r>
      <w:r>
        <w:rPr>
          <w:lang w:eastAsia="zh-CN"/>
        </w:rPr>
        <w:t>[3], RAN2 made some progress on RACH-less HO and CHO enhancement. But FFSs are left</w:t>
      </w:r>
      <w:r w:rsidR="00DE111F">
        <w:rPr>
          <w:lang w:eastAsia="zh-CN"/>
        </w:rPr>
        <w:t>:</w:t>
      </w:r>
    </w:p>
    <w:p w14:paraId="5BC07ED0" w14:textId="0A9E0167" w:rsidR="00DE111F" w:rsidRPr="00DE111F" w:rsidRDefault="00DE111F" w:rsidP="00DC08DC">
      <w:pPr>
        <w:pStyle w:val="NO"/>
        <w:ind w:left="0" w:firstLine="0"/>
        <w:rPr>
          <w:b/>
          <w:bCs/>
          <w:u w:val="single"/>
          <w:lang w:eastAsia="zh-CN"/>
        </w:rPr>
      </w:pPr>
      <w:r w:rsidRPr="00DE111F">
        <w:rPr>
          <w:rFonts w:hint="eastAsia"/>
          <w:b/>
          <w:bCs/>
          <w:u w:val="single"/>
          <w:lang w:eastAsia="zh-CN"/>
        </w:rPr>
        <w:t>RACH-less</w:t>
      </w:r>
      <w:r w:rsidRPr="00DE111F">
        <w:rPr>
          <w:b/>
          <w:bCs/>
          <w:u w:val="single"/>
          <w:lang w:eastAsia="zh-CN"/>
        </w:rPr>
        <w:t xml:space="preserve"> HO:</w:t>
      </w:r>
    </w:p>
    <w:p w14:paraId="515CC077" w14:textId="77777777" w:rsidR="00DE111F" w:rsidRDefault="00DE111F" w:rsidP="00DE111F">
      <w:pPr>
        <w:pStyle w:val="Agreement"/>
        <w:tabs>
          <w:tab w:val="clear" w:pos="2250"/>
          <w:tab w:val="num" w:pos="1619"/>
        </w:tabs>
        <w:ind w:left="1619"/>
      </w:pPr>
      <w:r>
        <w:t>RAN2 think that to have a fast handover from UE point of view for legacy UEs it is important that the target cell is known to the UE (detected and measured).</w:t>
      </w:r>
    </w:p>
    <w:p w14:paraId="6E507DD4" w14:textId="77777777" w:rsidR="00DE111F" w:rsidRDefault="00DE111F" w:rsidP="00DE111F">
      <w:pPr>
        <w:pStyle w:val="Agreement"/>
        <w:tabs>
          <w:tab w:val="clear" w:pos="2250"/>
          <w:tab w:val="num" w:pos="1619"/>
        </w:tabs>
        <w:ind w:left="1619"/>
      </w:pPr>
      <w:r>
        <w:t>For RACH-less, if supported, there would need to be a beam indication (in RRC HO command), which seems feasible in this release from R2 perspective. R2 assumes that the network can know/select the beam, either from network impl specific knowledge or from UE measurement report (legacy report).</w:t>
      </w:r>
    </w:p>
    <w:p w14:paraId="20F81DBC" w14:textId="77777777" w:rsidR="00DE111F" w:rsidRPr="00521742" w:rsidRDefault="00DE111F" w:rsidP="00DE111F">
      <w:pPr>
        <w:pStyle w:val="Agreement"/>
        <w:tabs>
          <w:tab w:val="clear" w:pos="2250"/>
          <w:tab w:val="num" w:pos="1619"/>
        </w:tabs>
        <w:ind w:left="1619"/>
        <w:rPr>
          <w:lang w:eastAsia="en-US"/>
        </w:rPr>
      </w:pPr>
      <w:r w:rsidRPr="00521742">
        <w:rPr>
          <w:lang w:eastAsia="en-US"/>
        </w:rPr>
        <w:t>for the UL grant and HO completion</w:t>
      </w:r>
      <w:r>
        <w:rPr>
          <w:lang w:eastAsia="en-US"/>
        </w:rPr>
        <w:t xml:space="preserve"> in RACH-less HO</w:t>
      </w:r>
      <w:r w:rsidRPr="00521742">
        <w:rPr>
          <w:lang w:eastAsia="en-US"/>
        </w:rPr>
        <w:t>:</w:t>
      </w:r>
    </w:p>
    <w:p w14:paraId="6999888A" w14:textId="77777777" w:rsidR="00DE111F" w:rsidRPr="00521742" w:rsidRDefault="00DE111F" w:rsidP="00DE111F">
      <w:pPr>
        <w:pStyle w:val="Agreement"/>
        <w:numPr>
          <w:ilvl w:val="0"/>
          <w:numId w:val="0"/>
        </w:numPr>
        <w:ind w:left="1619"/>
        <w:rPr>
          <w:lang w:eastAsia="en-US"/>
        </w:rPr>
      </w:pPr>
      <w:r w:rsidRPr="00521742">
        <w:rPr>
          <w:lang w:eastAsia="en-US"/>
        </w:rPr>
        <w:t>1. Both type-1 configured grant and dynamic grant are supported</w:t>
      </w:r>
    </w:p>
    <w:p w14:paraId="42180EC4" w14:textId="77777777" w:rsidR="00DE111F" w:rsidRDefault="00DE111F" w:rsidP="00DE111F">
      <w:pPr>
        <w:pStyle w:val="Agreement"/>
        <w:numPr>
          <w:ilvl w:val="0"/>
          <w:numId w:val="0"/>
        </w:numPr>
        <w:ind w:left="1619"/>
        <w:rPr>
          <w:rFonts w:eastAsia="Times New Roman"/>
          <w:szCs w:val="20"/>
          <w:lang w:eastAsia="en-US"/>
        </w:rPr>
      </w:pPr>
      <w:r w:rsidRPr="00521742">
        <w:rPr>
          <w:rFonts w:eastAsia="Times New Roman"/>
          <w:szCs w:val="20"/>
          <w:lang w:eastAsia="en-US"/>
        </w:rPr>
        <w:t xml:space="preserve">2. </w:t>
      </w:r>
      <w:r>
        <w:rPr>
          <w:rFonts w:eastAsia="Times New Roman"/>
          <w:szCs w:val="20"/>
          <w:lang w:eastAsia="en-US"/>
        </w:rPr>
        <w:t>FFS handling of supervision timer and when</w:t>
      </w:r>
      <w:r w:rsidRPr="00521742">
        <w:rPr>
          <w:rFonts w:eastAsia="Times New Roman"/>
          <w:szCs w:val="20"/>
          <w:lang w:eastAsia="en-US"/>
        </w:rPr>
        <w:t xml:space="preserve"> HO is </w:t>
      </w:r>
      <w:r>
        <w:rPr>
          <w:rFonts w:eastAsia="Times New Roman"/>
          <w:szCs w:val="20"/>
          <w:lang w:eastAsia="en-US"/>
        </w:rPr>
        <w:t xml:space="preserve">considered successfully </w:t>
      </w:r>
      <w:r w:rsidRPr="00521742">
        <w:rPr>
          <w:rFonts w:eastAsia="Times New Roman"/>
          <w:szCs w:val="20"/>
          <w:lang w:eastAsia="en-US"/>
        </w:rPr>
        <w:t>complete</w:t>
      </w:r>
      <w:r>
        <w:rPr>
          <w:rFonts w:eastAsia="Times New Roman"/>
          <w:szCs w:val="20"/>
          <w:lang w:eastAsia="en-US"/>
        </w:rPr>
        <w:t xml:space="preserve"> (expect to align with other WI). </w:t>
      </w:r>
    </w:p>
    <w:p w14:paraId="02631F44" w14:textId="77777777" w:rsidR="00FB1241" w:rsidRDefault="00FB1241" w:rsidP="00FB1241">
      <w:pPr>
        <w:pStyle w:val="Agreement"/>
        <w:tabs>
          <w:tab w:val="clear" w:pos="2250"/>
          <w:tab w:val="num" w:pos="1619"/>
        </w:tabs>
        <w:ind w:left="1619"/>
      </w:pPr>
      <w:r>
        <w:t>Send LS to RAN3 to check whether there are issues / feasibility concerns</w:t>
      </w:r>
    </w:p>
    <w:p w14:paraId="59C72745" w14:textId="77777777" w:rsidR="00FB1241" w:rsidRPr="00FB1241" w:rsidRDefault="00FB1241" w:rsidP="00FB1241">
      <w:pPr>
        <w:pStyle w:val="Doc-text2"/>
        <w:rPr>
          <w:lang w:eastAsia="en-US"/>
        </w:rPr>
      </w:pPr>
    </w:p>
    <w:p w14:paraId="12671440" w14:textId="0AD42378" w:rsidR="00DE111F" w:rsidRPr="00DE111F" w:rsidRDefault="00DE111F" w:rsidP="009D351D">
      <w:pPr>
        <w:pStyle w:val="NO"/>
        <w:spacing w:before="180"/>
        <w:ind w:left="0" w:firstLine="0"/>
        <w:rPr>
          <w:b/>
          <w:bCs/>
          <w:u w:val="single"/>
          <w:lang w:eastAsia="zh-CN"/>
        </w:rPr>
      </w:pPr>
      <w:r>
        <w:rPr>
          <w:b/>
          <w:bCs/>
          <w:u w:val="single"/>
          <w:lang w:eastAsia="zh-CN"/>
        </w:rPr>
        <w:t>C</w:t>
      </w:r>
      <w:r w:rsidRPr="00DE111F">
        <w:rPr>
          <w:b/>
          <w:bCs/>
          <w:u w:val="single"/>
          <w:lang w:eastAsia="zh-CN"/>
        </w:rPr>
        <w:t>HO</w:t>
      </w:r>
      <w:r>
        <w:rPr>
          <w:b/>
          <w:bCs/>
          <w:u w:val="single"/>
          <w:lang w:eastAsia="zh-CN"/>
        </w:rPr>
        <w:t xml:space="preserve"> enhancement</w:t>
      </w:r>
      <w:r w:rsidRPr="00DE111F">
        <w:rPr>
          <w:b/>
          <w:bCs/>
          <w:u w:val="single"/>
          <w:lang w:eastAsia="zh-CN"/>
        </w:rPr>
        <w:t>:</w:t>
      </w:r>
    </w:p>
    <w:p w14:paraId="048A17F5" w14:textId="77777777" w:rsidR="00DC08DC" w:rsidRDefault="00DC08DC" w:rsidP="00DC08DC">
      <w:pPr>
        <w:pStyle w:val="Agreement"/>
        <w:tabs>
          <w:tab w:val="clear" w:pos="2250"/>
          <w:tab w:val="num" w:pos="1619"/>
        </w:tabs>
        <w:spacing w:after="180"/>
        <w:ind w:left="1616" w:hanging="357"/>
      </w:pPr>
      <w:r>
        <w:t xml:space="preserve">FFS: May support CHO with CondT1 if it is “for free”, i.e. if TS impact is just to slightly modify the description to make it also applicable to TN. </w:t>
      </w:r>
    </w:p>
    <w:p w14:paraId="6015D9E1" w14:textId="30F85442" w:rsidR="00201E9F" w:rsidRDefault="00DC08DC" w:rsidP="00DC08DC">
      <w:pPr>
        <w:pStyle w:val="NO"/>
        <w:ind w:left="0" w:firstLine="0"/>
        <w:rPr>
          <w:lang w:eastAsia="zh-CN"/>
        </w:rPr>
      </w:pPr>
      <w:r>
        <w:rPr>
          <w:lang w:eastAsia="zh-CN"/>
        </w:rPr>
        <w:t xml:space="preserve">In this contribution, we share our view on </w:t>
      </w:r>
      <w:r w:rsidR="003B6143">
        <w:rPr>
          <w:lang w:eastAsia="zh-CN"/>
        </w:rPr>
        <w:t xml:space="preserve">how to </w:t>
      </w:r>
      <w:r w:rsidR="001F2DF2">
        <w:rPr>
          <w:lang w:eastAsia="zh-CN"/>
        </w:rPr>
        <w:t>address</w:t>
      </w:r>
      <w:r w:rsidR="003B6143">
        <w:rPr>
          <w:lang w:eastAsia="zh-CN"/>
        </w:rPr>
        <w:t xml:space="preserve"> the remaining issue on </w:t>
      </w:r>
      <w:r>
        <w:rPr>
          <w:lang w:eastAsia="zh-CN"/>
        </w:rPr>
        <w:t>RACH-less HO and CHO enhancement in mobile IAB.</w:t>
      </w:r>
    </w:p>
    <w:p w14:paraId="56E03DF1" w14:textId="77777777" w:rsidR="00AE0089" w:rsidRDefault="00AE0089" w:rsidP="00DC08DC">
      <w:pPr>
        <w:pStyle w:val="NO"/>
        <w:ind w:left="0" w:firstLine="0"/>
        <w:rPr>
          <w:lang w:eastAsia="zh-CN"/>
        </w:rPr>
      </w:pPr>
    </w:p>
    <w:bookmarkEnd w:id="0"/>
    <w:p w14:paraId="5E1D2E2C" w14:textId="53F9B20A" w:rsidR="004E420D" w:rsidRDefault="00C07B49" w:rsidP="00423B3C">
      <w:pPr>
        <w:pStyle w:val="Heading1"/>
        <w:rPr>
          <w:b/>
          <w:lang w:val="en-US"/>
        </w:rPr>
      </w:pPr>
      <w:r>
        <w:rPr>
          <w:lang w:val="en-US"/>
        </w:rPr>
        <w:lastRenderedPageBreak/>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7BCAB519" w14:textId="46A950FB" w:rsidR="0088143F" w:rsidRPr="0088143F" w:rsidRDefault="0088143F" w:rsidP="0088143F">
      <w:pPr>
        <w:pStyle w:val="Heading2"/>
        <w:rPr>
          <w:lang w:val="en-US"/>
        </w:rPr>
      </w:pPr>
      <w:bookmarkStart w:id="1" w:name="_Ref54102585"/>
      <w:bookmarkStart w:id="2" w:name="_Ref54102582"/>
      <w:r>
        <w:t xml:space="preserve">2.1 </w:t>
      </w:r>
      <w:r>
        <w:rPr>
          <w:lang w:val="en-US"/>
        </w:rPr>
        <w:t xml:space="preserve">RACH-less HO </w:t>
      </w:r>
    </w:p>
    <w:p w14:paraId="4776455C" w14:textId="7E811090" w:rsidR="007C0FDA" w:rsidRDefault="002D129B" w:rsidP="007C0FDA">
      <w:pPr>
        <w:pStyle w:val="NO"/>
        <w:spacing w:after="120"/>
        <w:ind w:left="0" w:firstLine="0"/>
        <w:rPr>
          <w:lang w:eastAsia="zh-CN"/>
        </w:rPr>
      </w:pPr>
      <w:r>
        <w:rPr>
          <w:lang w:eastAsia="zh-CN"/>
        </w:rPr>
        <w:t xml:space="preserve">In </w:t>
      </w:r>
      <w:r w:rsidR="00D110AB">
        <w:rPr>
          <w:lang w:eastAsia="zh-CN"/>
        </w:rPr>
        <w:t>NR Rel-18, there are following two RACH-less HO procedures are being specified:</w:t>
      </w:r>
    </w:p>
    <w:p w14:paraId="26C7D6F1" w14:textId="46299981" w:rsidR="00D110AB" w:rsidRDefault="00D110AB" w:rsidP="00D110AB">
      <w:pPr>
        <w:pStyle w:val="NO"/>
        <w:numPr>
          <w:ilvl w:val="0"/>
          <w:numId w:val="76"/>
        </w:numPr>
        <w:spacing w:after="120"/>
        <w:rPr>
          <w:lang w:eastAsia="zh-CN"/>
        </w:rPr>
      </w:pPr>
      <w:r>
        <w:rPr>
          <w:lang w:eastAsia="zh-CN"/>
        </w:rPr>
        <w:t>NTN solution</w:t>
      </w:r>
    </w:p>
    <w:p w14:paraId="249AED88" w14:textId="7019DCE3" w:rsidR="00D110AB" w:rsidRDefault="00D110AB" w:rsidP="00D110AB">
      <w:pPr>
        <w:pStyle w:val="NO"/>
        <w:numPr>
          <w:ilvl w:val="0"/>
          <w:numId w:val="75"/>
        </w:numPr>
        <w:spacing w:after="120"/>
        <w:rPr>
          <w:lang w:eastAsia="zh-CN"/>
        </w:rPr>
      </w:pPr>
      <w:r>
        <w:rPr>
          <w:lang w:eastAsia="zh-CN"/>
        </w:rPr>
        <w:t>It is similar to LTE RACH-less HO which was specified in LTE Rel-14</w:t>
      </w:r>
    </w:p>
    <w:p w14:paraId="4C9EF948" w14:textId="33537ACE" w:rsidR="00D110AB" w:rsidRDefault="00D110AB" w:rsidP="00D110AB">
      <w:pPr>
        <w:pStyle w:val="NO"/>
        <w:numPr>
          <w:ilvl w:val="0"/>
          <w:numId w:val="75"/>
        </w:numPr>
        <w:spacing w:after="120"/>
        <w:rPr>
          <w:lang w:eastAsia="zh-CN"/>
        </w:rPr>
      </w:pPr>
      <w:r>
        <w:rPr>
          <w:lang w:eastAsia="zh-CN"/>
        </w:rPr>
        <w:t>It supports both intra-DU and inter-DU HO</w:t>
      </w:r>
      <w:r>
        <w:rPr>
          <w:lang w:eastAsia="zh-CN"/>
        </w:rPr>
        <w:tab/>
      </w:r>
    </w:p>
    <w:p w14:paraId="58F0A6B1" w14:textId="53A04884" w:rsidR="00D110AB" w:rsidRDefault="00D110AB" w:rsidP="00D110AB">
      <w:pPr>
        <w:pStyle w:val="NO"/>
        <w:numPr>
          <w:ilvl w:val="0"/>
          <w:numId w:val="76"/>
        </w:numPr>
        <w:spacing w:after="120"/>
        <w:rPr>
          <w:lang w:eastAsia="zh-CN"/>
        </w:rPr>
      </w:pPr>
      <w:r>
        <w:rPr>
          <w:lang w:eastAsia="zh-CN"/>
        </w:rPr>
        <w:t>Early-TA solution</w:t>
      </w:r>
    </w:p>
    <w:p w14:paraId="2337C5D2" w14:textId="616A7F1E" w:rsidR="00D110AB" w:rsidRDefault="00D110AB" w:rsidP="00D110AB">
      <w:pPr>
        <w:pStyle w:val="NO"/>
        <w:numPr>
          <w:ilvl w:val="0"/>
          <w:numId w:val="75"/>
        </w:numPr>
        <w:spacing w:after="120"/>
        <w:rPr>
          <w:lang w:eastAsia="zh-CN"/>
        </w:rPr>
      </w:pPr>
      <w:r>
        <w:rPr>
          <w:lang w:eastAsia="zh-CN"/>
        </w:rPr>
        <w:t xml:space="preserve">It is being specified in Rel-18 WI of NR further mobility enhancements as part of LTM. </w:t>
      </w:r>
    </w:p>
    <w:p w14:paraId="36221B25" w14:textId="093B0F33" w:rsidR="00D110AB" w:rsidRDefault="00D110AB" w:rsidP="00D110AB">
      <w:pPr>
        <w:pStyle w:val="NO"/>
        <w:numPr>
          <w:ilvl w:val="0"/>
          <w:numId w:val="75"/>
        </w:numPr>
        <w:spacing w:after="120"/>
        <w:rPr>
          <w:lang w:eastAsia="zh-CN"/>
        </w:rPr>
      </w:pPr>
      <w:r>
        <w:rPr>
          <w:lang w:eastAsia="zh-CN"/>
        </w:rPr>
        <w:t>It only support</w:t>
      </w:r>
      <w:r w:rsidR="00F933DB">
        <w:rPr>
          <w:lang w:eastAsia="zh-CN"/>
        </w:rPr>
        <w:t>s</w:t>
      </w:r>
      <w:r>
        <w:rPr>
          <w:lang w:eastAsia="zh-CN"/>
        </w:rPr>
        <w:t xml:space="preserve"> intra-DU HO</w:t>
      </w:r>
    </w:p>
    <w:p w14:paraId="6BF32A5D" w14:textId="77777777" w:rsidR="00214684" w:rsidRDefault="00214684" w:rsidP="00214684">
      <w:pPr>
        <w:pStyle w:val="NO"/>
        <w:spacing w:after="120"/>
        <w:ind w:left="0" w:firstLine="0"/>
        <w:rPr>
          <w:lang w:eastAsia="zh-CN"/>
        </w:rPr>
      </w:pPr>
      <w:r>
        <w:rPr>
          <w:lang w:eastAsia="zh-CN"/>
        </w:rPr>
        <w:t>Between them, we prefer 1) because:</w:t>
      </w:r>
    </w:p>
    <w:p w14:paraId="55E1852E" w14:textId="77777777" w:rsidR="00214684" w:rsidRDefault="00214684" w:rsidP="00214684">
      <w:pPr>
        <w:pStyle w:val="NO"/>
        <w:numPr>
          <w:ilvl w:val="0"/>
          <w:numId w:val="77"/>
        </w:numPr>
        <w:spacing w:after="120"/>
        <w:rPr>
          <w:lang w:eastAsia="zh-CN"/>
        </w:rPr>
      </w:pPr>
      <w:r>
        <w:rPr>
          <w:lang w:eastAsia="zh-CN"/>
        </w:rPr>
        <w:t xml:space="preserve">Inter-DU HO is target HO scenario of mobile IAB because dual-DU modeling was agreed in RAN2#119b-e [4]. </w:t>
      </w:r>
    </w:p>
    <w:p w14:paraId="3BF62E40" w14:textId="5216D2F6" w:rsidR="00214684" w:rsidRDefault="00214684" w:rsidP="005603AB">
      <w:pPr>
        <w:pStyle w:val="NO"/>
        <w:numPr>
          <w:ilvl w:val="0"/>
          <w:numId w:val="77"/>
        </w:numPr>
        <w:ind w:left="714" w:hanging="357"/>
        <w:rPr>
          <w:lang w:eastAsia="zh-CN"/>
        </w:rPr>
      </w:pPr>
      <w:r>
        <w:rPr>
          <w:lang w:eastAsia="zh-CN"/>
        </w:rPr>
        <w:t>Early-TA solution is strongly coupled with LTM. However, we think it doesn't make much sense for a mobile IAB UE to support LTM</w:t>
      </w:r>
      <w:r w:rsidR="00C64C01">
        <w:rPr>
          <w:lang w:eastAsia="zh-CN"/>
        </w:rPr>
        <w:t xml:space="preserve"> (e.g. for fast HO</w:t>
      </w:r>
      <w:r w:rsidR="007B5361">
        <w:rPr>
          <w:lang w:eastAsia="zh-CN"/>
        </w:rPr>
        <w:t xml:space="preserve"> via L2 signaling</w:t>
      </w:r>
      <w:r w:rsidR="00C64C01">
        <w:rPr>
          <w:lang w:eastAsia="zh-CN"/>
        </w:rPr>
        <w:t>)</w:t>
      </w:r>
      <w:r>
        <w:rPr>
          <w:lang w:eastAsia="zh-CN"/>
        </w:rPr>
        <w:t>. Meanwhile, the RACH-less solution in NTN is only target for the requirement of same TA between source and target cell. We think it is more suitable for mobile IAB UEs.</w:t>
      </w:r>
    </w:p>
    <w:p w14:paraId="1159FCD8" w14:textId="30964263" w:rsidR="006B164B" w:rsidRPr="006B164B" w:rsidRDefault="006B164B" w:rsidP="006B164B">
      <w:pPr>
        <w:rPr>
          <w:b/>
          <w:bCs/>
        </w:rPr>
      </w:pPr>
      <w:r w:rsidRPr="006B164B">
        <w:rPr>
          <w:b/>
          <w:bCs/>
        </w:rPr>
        <w:t xml:space="preserve">Observation 1: </w:t>
      </w:r>
      <w:r>
        <w:rPr>
          <w:b/>
          <w:bCs/>
        </w:rPr>
        <w:t xml:space="preserve">RACH-less HO in NTN is more suitable for mobile IAB because </w:t>
      </w:r>
      <w:r w:rsidR="00FE3963">
        <w:rPr>
          <w:b/>
          <w:bCs/>
        </w:rPr>
        <w:t>early-TA doesn't support i</w:t>
      </w:r>
      <w:r w:rsidRPr="006B164B">
        <w:rPr>
          <w:b/>
          <w:bCs/>
        </w:rPr>
        <w:t xml:space="preserve">nter-DU HO </w:t>
      </w:r>
      <w:r w:rsidR="00FE3963">
        <w:rPr>
          <w:b/>
          <w:bCs/>
        </w:rPr>
        <w:t xml:space="preserve">but it </w:t>
      </w:r>
      <w:r w:rsidRPr="006B164B">
        <w:rPr>
          <w:b/>
          <w:bCs/>
        </w:rPr>
        <w:t>is target HO scenario of mobile IAB because dual-DU modeling was agreed in RAN2#119b-e</w:t>
      </w:r>
      <w:r>
        <w:rPr>
          <w:b/>
          <w:bCs/>
        </w:rPr>
        <w:t>.</w:t>
      </w:r>
    </w:p>
    <w:p w14:paraId="594B9407" w14:textId="3A881352" w:rsidR="007B5361" w:rsidRDefault="007B5361" w:rsidP="007B5361">
      <w:pPr>
        <w:pStyle w:val="NO"/>
        <w:spacing w:after="120"/>
        <w:ind w:left="0" w:firstLine="0"/>
        <w:rPr>
          <w:lang w:eastAsia="zh-CN"/>
        </w:rPr>
      </w:pPr>
      <w:r>
        <w:rPr>
          <w:lang w:eastAsia="zh-CN"/>
        </w:rPr>
        <w:t>Thus, we propose:</w:t>
      </w:r>
    </w:p>
    <w:p w14:paraId="44DFAFFC" w14:textId="7BCFFB5B" w:rsidR="007B5361" w:rsidRDefault="007B5361" w:rsidP="007B5361">
      <w:pPr>
        <w:rPr>
          <w:b/>
          <w:bCs/>
          <w:color w:val="auto"/>
        </w:rPr>
      </w:pPr>
      <w:r w:rsidRPr="0033712C">
        <w:rPr>
          <w:b/>
          <w:bCs/>
          <w:color w:val="auto"/>
          <w:lang w:val="en-CN"/>
        </w:rPr>
        <w:t xml:space="preserve">Proposal </w:t>
      </w:r>
      <w:r>
        <w:rPr>
          <w:b/>
          <w:bCs/>
          <w:color w:val="auto"/>
        </w:rPr>
        <w:t>1</w:t>
      </w:r>
      <w:r w:rsidRPr="0033712C">
        <w:rPr>
          <w:b/>
          <w:bCs/>
          <w:color w:val="auto"/>
          <w:lang w:val="en-CN"/>
        </w:rPr>
        <w:t xml:space="preserve">: </w:t>
      </w:r>
      <w:r>
        <w:rPr>
          <w:b/>
          <w:bCs/>
          <w:color w:val="auto"/>
        </w:rPr>
        <w:t>RAN2 confirm the RACH-less HO procedure agreed in NTN WI can be reused in mobile IAB</w:t>
      </w:r>
      <w:r w:rsidR="00EE1CE5">
        <w:rPr>
          <w:b/>
          <w:bCs/>
          <w:color w:val="auto"/>
        </w:rPr>
        <w:t>.</w:t>
      </w:r>
    </w:p>
    <w:p w14:paraId="25F60FBB" w14:textId="58B5E1D7" w:rsidR="00FE3963" w:rsidRDefault="006B164B" w:rsidP="006B164B">
      <w:pPr>
        <w:pStyle w:val="NO"/>
        <w:spacing w:after="120"/>
        <w:ind w:left="0" w:firstLine="0"/>
        <w:rPr>
          <w:lang w:eastAsia="zh-CN"/>
        </w:rPr>
      </w:pPr>
      <w:r w:rsidRPr="006B164B">
        <w:rPr>
          <w:lang w:eastAsia="zh-CN"/>
        </w:rPr>
        <w:t>To facilitate discussion, agreements on RACH-less HO in NTN were list below:</w:t>
      </w:r>
    </w:p>
    <w:p w14:paraId="77D00DC8" w14:textId="77777777" w:rsidR="009419BF" w:rsidRDefault="009419BF" w:rsidP="006B164B">
      <w:pPr>
        <w:pStyle w:val="NO"/>
        <w:spacing w:after="120"/>
        <w:ind w:left="0" w:firstLine="0"/>
        <w:rPr>
          <w:lang w:eastAsia="zh-CN"/>
        </w:rPr>
      </w:pPr>
    </w:p>
    <w:p w14:paraId="38A052B2"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Agreements via email – from offline 109:</w:t>
      </w:r>
    </w:p>
    <w:p w14:paraId="7991451C" w14:textId="77777777" w:rsidR="003B4BAC" w:rsidRDefault="003B4BAC" w:rsidP="003B4BAC">
      <w:pPr>
        <w:pStyle w:val="Doc-text2"/>
        <w:numPr>
          <w:ilvl w:val="0"/>
          <w:numId w:val="47"/>
        </w:numPr>
        <w:pBdr>
          <w:top w:val="single" w:sz="4" w:space="1" w:color="auto"/>
          <w:left w:val="single" w:sz="4" w:space="4" w:color="auto"/>
          <w:bottom w:val="single" w:sz="4" w:space="1" w:color="auto"/>
          <w:right w:val="single" w:sz="4" w:space="4" w:color="auto"/>
        </w:pBdr>
      </w:pPr>
      <w:r>
        <w:t>NTN RACH-less HO is supported for Intra-satellite handover with the same feeder link. i.e., with same gateway/gNB;</w:t>
      </w:r>
    </w:p>
    <w:p w14:paraId="55154A31" w14:textId="77777777" w:rsidR="003B4BAC" w:rsidRDefault="003B4BAC" w:rsidP="003B4BAC">
      <w:pPr>
        <w:pStyle w:val="Doc-text2"/>
        <w:numPr>
          <w:ilvl w:val="0"/>
          <w:numId w:val="47"/>
        </w:numPr>
        <w:pBdr>
          <w:top w:val="single" w:sz="4" w:space="1" w:color="auto"/>
          <w:left w:val="single" w:sz="4" w:space="4" w:color="auto"/>
          <w:bottom w:val="single" w:sz="4" w:space="1" w:color="auto"/>
          <w:right w:val="single" w:sz="4" w:space="4" w:color="auto"/>
        </w:pBdr>
      </w:pPr>
      <w:r>
        <w:t>NTN RACH-less HO can be supported for intra-satellite handover with different feeder links, i.e., with gateway/gNB switch, inter-satellite handover with gateway/gNB switch, and inter-satellite handover with same gateway/gNB.</w:t>
      </w:r>
    </w:p>
    <w:p w14:paraId="2CCC1FEE" w14:textId="77777777" w:rsidR="003B4BAC" w:rsidRDefault="003B4BAC" w:rsidP="003B4BAC">
      <w:pPr>
        <w:pStyle w:val="Doc-text2"/>
        <w:numPr>
          <w:ilvl w:val="0"/>
          <w:numId w:val="47"/>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14:paraId="2DF1B70B"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1.</w:t>
      </w:r>
      <w:r>
        <w:tab/>
        <w:t>receive a RACH-less HO command which can include pre-allocated grant optionally. FFS N_TA is optional. (RRC)</w:t>
      </w:r>
    </w:p>
    <w:p w14:paraId="2D07E2B6"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2.</w:t>
      </w:r>
      <w:r>
        <w:tab/>
        <w:t>start timer T304 for the target cell (RRC)</w:t>
      </w:r>
    </w:p>
    <w:p w14:paraId="22911F0F"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3.</w:t>
      </w:r>
      <w:r>
        <w:tab/>
        <w:t>perform DL and UL synchronization, and start timer T430. FFS how to perform RACH-less UL synchronization to NTN target cell. (RRC, MAC)</w:t>
      </w:r>
    </w:p>
    <w:p w14:paraId="34614C1B"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4.</w:t>
      </w:r>
      <w:r>
        <w:tab/>
        <w:t>start time alignment timer (MAC)</w:t>
      </w:r>
    </w:p>
    <w:p w14:paraId="13B1707E"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5.</w:t>
      </w:r>
      <w:r>
        <w:tab/>
        <w:t>monitor target cell PDCCH for dynamic grant if pre-allocated grant is not configured in RACH-less HO command (MAC, PHY)</w:t>
      </w:r>
    </w:p>
    <w:p w14:paraId="19354C98"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6.</w:t>
      </w:r>
      <w:r>
        <w:tab/>
        <w:t>send initial UL transmission including RRCReconfigurationComplete message using the available UL grant (RRC, MAC, PHY)</w:t>
      </w:r>
    </w:p>
    <w:p w14:paraId="2CC82D40" w14:textId="77777777" w:rsidR="003B4BAC" w:rsidRPr="00CC157F" w:rsidRDefault="003B4BAC" w:rsidP="003B4BAC">
      <w:pPr>
        <w:pStyle w:val="Doc-text2"/>
        <w:pBdr>
          <w:top w:val="single" w:sz="4" w:space="1" w:color="auto"/>
          <w:left w:val="single" w:sz="4" w:space="4" w:color="auto"/>
          <w:bottom w:val="single" w:sz="4" w:space="1" w:color="auto"/>
          <w:right w:val="single" w:sz="4" w:space="4" w:color="auto"/>
        </w:pBdr>
        <w:rPr>
          <w:highlight w:val="green"/>
        </w:rPr>
      </w:pPr>
      <w:r>
        <w:tab/>
      </w:r>
      <w:r w:rsidRPr="00CC157F">
        <w:rPr>
          <w:highlight w:val="green"/>
        </w:rPr>
        <w:t>7.</w:t>
      </w:r>
      <w:r w:rsidRPr="00CC157F">
        <w:rPr>
          <w:highlight w:val="green"/>
        </w:rPr>
        <w:tab/>
        <w:t>consider RACH-less HO is completed upon receiving NW confirmation. FFS how to confirm RACH-less HO is successfully completed. (RRC, MAC)</w:t>
      </w:r>
    </w:p>
    <w:p w14:paraId="167CB569"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rsidRPr="00CC157F">
        <w:rPr>
          <w:highlight w:val="green"/>
        </w:rPr>
        <w:tab/>
        <w:t>8.</w:t>
      </w:r>
      <w:r w:rsidRPr="00CC157F">
        <w:rPr>
          <w:highlight w:val="green"/>
        </w:rPr>
        <w:tab/>
        <w:t>stop timer T304 for the target cell. (RRC)</w:t>
      </w:r>
    </w:p>
    <w:p w14:paraId="494849B9"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FFS whether to release UL grant if pre-allocated after RACH-less HO completion</w:t>
      </w:r>
    </w:p>
    <w:p w14:paraId="75410A1B"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FFS RACH-less HO failure handling, e.g. whether UE fallback to RACH-based HO to the target cell</w:t>
      </w:r>
    </w:p>
    <w:p w14:paraId="5B2DAE16"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FFS procedure for RACH-less HO combined with PCI unchanged or CHO if supported</w:t>
      </w:r>
    </w:p>
    <w:p w14:paraId="027C5AA3"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4.</w:t>
      </w:r>
      <w:r>
        <w:tab/>
      </w:r>
      <w:r w:rsidRPr="00D27AC4">
        <w:rPr>
          <w:highlight w:val="yellow"/>
        </w:rPr>
        <w:t>The pre-allocated grant is provided as type-1 CG</w:t>
      </w:r>
    </w:p>
    <w:p w14:paraId="77ADCE1E" w14:textId="77777777" w:rsidR="003B4BAC" w:rsidRPr="00597174" w:rsidRDefault="003B4BAC" w:rsidP="003B4BAC">
      <w:pPr>
        <w:pStyle w:val="Doc-text2"/>
        <w:pBdr>
          <w:top w:val="single" w:sz="4" w:space="1" w:color="auto"/>
          <w:left w:val="single" w:sz="4" w:space="4" w:color="auto"/>
          <w:bottom w:val="single" w:sz="4" w:space="1" w:color="auto"/>
          <w:right w:val="single" w:sz="4" w:space="4" w:color="auto"/>
        </w:pBdr>
        <w:rPr>
          <w:highlight w:val="yellow"/>
        </w:rPr>
      </w:pPr>
      <w:r>
        <w:t>5.</w:t>
      </w:r>
      <w:r>
        <w:tab/>
      </w:r>
      <w:r w:rsidRPr="00597174">
        <w:rPr>
          <w:highlight w:val="yellow"/>
        </w:rPr>
        <w:t>Send an LS to RAN1 informing RAN2 agreements on NTN RACH-less HO and check RAN1 views on the following aspects:</w:t>
      </w:r>
    </w:p>
    <w:p w14:paraId="61C949DD" w14:textId="77777777" w:rsidR="003B4BAC" w:rsidRPr="00597174" w:rsidRDefault="003B4BAC" w:rsidP="003B4BAC">
      <w:pPr>
        <w:pStyle w:val="Doc-text2"/>
        <w:pBdr>
          <w:top w:val="single" w:sz="4" w:space="1" w:color="auto"/>
          <w:left w:val="single" w:sz="4" w:space="4" w:color="auto"/>
          <w:bottom w:val="single" w:sz="4" w:space="1" w:color="auto"/>
          <w:right w:val="single" w:sz="4" w:space="4" w:color="auto"/>
        </w:pBdr>
        <w:rPr>
          <w:highlight w:val="yellow"/>
        </w:rPr>
      </w:pPr>
      <w:r w:rsidRPr="00597174">
        <w:rPr>
          <w:highlight w:val="yellow"/>
        </w:rPr>
        <w:lastRenderedPageBreak/>
        <w:tab/>
        <w:t>1. whether the pre-allocated grant is provided with association to SSBs; if so, whether a RSRP threshold is configured for SSB selection.</w:t>
      </w:r>
    </w:p>
    <w:p w14:paraId="02238286"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rsidRPr="00597174">
        <w:rPr>
          <w:highlight w:val="yellow"/>
        </w:rPr>
        <w:tab/>
        <w:t>2. to monitor target cell PDCCH for dynamic grant for initial UL transmission, whether beam indication can be provided in RACH-less HO command.</w:t>
      </w:r>
    </w:p>
    <w:p w14:paraId="2752FCFD"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3. power control for initial UL transmission</w:t>
      </w:r>
    </w:p>
    <w:p w14:paraId="35C03321" w14:textId="77777777" w:rsidR="003B4BAC" w:rsidRDefault="003B4BAC" w:rsidP="003B4BAC">
      <w:pPr>
        <w:pStyle w:val="Comments"/>
      </w:pPr>
    </w:p>
    <w:p w14:paraId="297652D4" w14:textId="77777777" w:rsidR="003B4BAC" w:rsidRDefault="003B4BAC" w:rsidP="003B4BAC">
      <w:pPr>
        <w:pStyle w:val="Comments"/>
      </w:pPr>
    </w:p>
    <w:p w14:paraId="3B5460B0"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Agreements online:</w:t>
      </w:r>
    </w:p>
    <w:p w14:paraId="2F0E1954" w14:textId="77777777" w:rsidR="003B4BAC" w:rsidRPr="00CC157F" w:rsidRDefault="003B4BAC" w:rsidP="003B4BAC">
      <w:pPr>
        <w:pStyle w:val="Doc-text2"/>
        <w:numPr>
          <w:ilvl w:val="0"/>
          <w:numId w:val="48"/>
        </w:numPr>
        <w:pBdr>
          <w:top w:val="single" w:sz="4" w:space="1" w:color="auto"/>
          <w:left w:val="single" w:sz="4" w:space="4" w:color="auto"/>
          <w:bottom w:val="single" w:sz="4" w:space="1" w:color="auto"/>
          <w:right w:val="single" w:sz="4" w:space="4" w:color="auto"/>
        </w:pBdr>
        <w:rPr>
          <w:highlight w:val="green"/>
        </w:rPr>
      </w:pPr>
      <w:r w:rsidRPr="00CC157F">
        <w:rPr>
          <w:highlight w:val="green"/>
        </w:rPr>
        <w:t>At least for pre-allocated grant, for the confirmation of RACH-less HO completion we reuse of LTE approach, i.e., UE Contention Resolution Identity MAC CE is used but UE ignores the content of this field. FFS if anything else is needed for dynamic grant</w:t>
      </w:r>
    </w:p>
    <w:p w14:paraId="4AEE79BE" w14:textId="77777777" w:rsidR="003B4BAC" w:rsidRDefault="003B4BAC" w:rsidP="003B4BAC">
      <w:pPr>
        <w:pStyle w:val="Doc-text2"/>
        <w:numPr>
          <w:ilvl w:val="0"/>
          <w:numId w:val="48"/>
        </w:numPr>
        <w:pBdr>
          <w:top w:val="single" w:sz="4" w:space="1" w:color="auto"/>
          <w:left w:val="single" w:sz="4" w:space="4" w:color="auto"/>
          <w:bottom w:val="single" w:sz="4" w:space="1" w:color="auto"/>
          <w:right w:val="single" w:sz="4" w:space="4" w:color="auto"/>
        </w:pBdr>
      </w:pPr>
      <w:r w:rsidRPr="007A078C">
        <w:t>Consider to support combining RACH-less HO with time-based CHO for NTN, taking into account the 1) validity of pre</w:t>
      </w:r>
      <w:r>
        <w:t>-</w:t>
      </w:r>
      <w:r w:rsidRPr="007A078C">
        <w:t>allocated grant and potential waste of reserved resource; 2) when/how to provide dynamic grant in PDCCH.</w:t>
      </w:r>
    </w:p>
    <w:p w14:paraId="18326B9C" w14:textId="77777777" w:rsidR="00FC0037" w:rsidRDefault="00FC0037" w:rsidP="00245D51"/>
    <w:p w14:paraId="16A1D501" w14:textId="37FD941C" w:rsidR="006B164B" w:rsidRPr="00F738C4" w:rsidRDefault="006B164B" w:rsidP="006B164B">
      <w:pPr>
        <w:pStyle w:val="Doc-text2"/>
        <w:pBdr>
          <w:top w:val="single" w:sz="4" w:space="1" w:color="auto"/>
          <w:left w:val="single" w:sz="4" w:space="4" w:color="auto"/>
          <w:bottom w:val="single" w:sz="4" w:space="1" w:color="auto"/>
          <w:right w:val="single" w:sz="4" w:space="4" w:color="auto"/>
        </w:pBdr>
      </w:pPr>
      <w:r w:rsidRPr="00F738C4">
        <w:t>Agreements</w:t>
      </w:r>
      <w:r w:rsidR="007801CF">
        <w:t xml:space="preserve"> (in RAN2#122)</w:t>
      </w:r>
      <w:r w:rsidRPr="00F738C4">
        <w:t>:</w:t>
      </w:r>
    </w:p>
    <w:p w14:paraId="59755822" w14:textId="77777777" w:rsidR="006B164B" w:rsidRPr="00F738C4" w:rsidRDefault="006B164B" w:rsidP="006B164B">
      <w:pPr>
        <w:pStyle w:val="Doc-text2"/>
        <w:numPr>
          <w:ilvl w:val="0"/>
          <w:numId w:val="78"/>
        </w:numPr>
        <w:pBdr>
          <w:top w:val="single" w:sz="4" w:space="1" w:color="auto"/>
          <w:left w:val="single" w:sz="4" w:space="4" w:color="auto"/>
          <w:bottom w:val="single" w:sz="4" w:space="1" w:color="auto"/>
          <w:right w:val="single" w:sz="4" w:space="4" w:color="auto"/>
        </w:pBdr>
      </w:pPr>
      <w:r w:rsidRPr="00F738C4">
        <w:t>From RAN2 perspective synchronization among source and target cells is not an issue in NTN RACH-less HO</w:t>
      </w:r>
    </w:p>
    <w:p w14:paraId="05C30937" w14:textId="77777777" w:rsidR="006B164B" w:rsidRPr="00F738C4" w:rsidRDefault="006B164B" w:rsidP="006B164B">
      <w:pPr>
        <w:pStyle w:val="Doc-text2"/>
        <w:numPr>
          <w:ilvl w:val="0"/>
          <w:numId w:val="78"/>
        </w:numPr>
        <w:pBdr>
          <w:top w:val="single" w:sz="4" w:space="1" w:color="auto"/>
          <w:left w:val="single" w:sz="4" w:space="4" w:color="auto"/>
          <w:bottom w:val="single" w:sz="4" w:space="1" w:color="auto"/>
          <w:right w:val="single" w:sz="4" w:space="4" w:color="auto"/>
        </w:pBdr>
      </w:pPr>
      <w:r w:rsidRPr="00F738C4">
        <w:t>Release pre-allocated UL grant after RACH-less HO completion</w:t>
      </w:r>
    </w:p>
    <w:p w14:paraId="264535EF" w14:textId="77777777" w:rsidR="006B164B" w:rsidRPr="00CC157F" w:rsidRDefault="006B164B" w:rsidP="006B164B">
      <w:pPr>
        <w:pStyle w:val="Doc-text2"/>
        <w:numPr>
          <w:ilvl w:val="0"/>
          <w:numId w:val="78"/>
        </w:numPr>
        <w:pBdr>
          <w:top w:val="single" w:sz="4" w:space="1" w:color="auto"/>
          <w:left w:val="single" w:sz="4" w:space="4" w:color="auto"/>
          <w:bottom w:val="single" w:sz="4" w:space="1" w:color="auto"/>
          <w:right w:val="single" w:sz="4" w:space="4" w:color="auto"/>
        </w:pBdr>
        <w:rPr>
          <w:highlight w:val="green"/>
        </w:rPr>
      </w:pPr>
      <w:r w:rsidRPr="00CC157F">
        <w:rPr>
          <w:highlight w:val="green"/>
        </w:rPr>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4832D915" w14:textId="77777777" w:rsidR="006B164B" w:rsidRPr="00F738C4" w:rsidRDefault="006B164B" w:rsidP="006B164B">
      <w:pPr>
        <w:pStyle w:val="Doc-text2"/>
        <w:numPr>
          <w:ilvl w:val="0"/>
          <w:numId w:val="78"/>
        </w:numPr>
        <w:pBdr>
          <w:top w:val="single" w:sz="4" w:space="1" w:color="auto"/>
          <w:left w:val="single" w:sz="4" w:space="4" w:color="auto"/>
          <w:bottom w:val="single" w:sz="4" w:space="1" w:color="auto"/>
          <w:right w:val="single" w:sz="4" w:space="4" w:color="auto"/>
        </w:pBdr>
      </w:pPr>
      <w:r w:rsidRPr="00F738C4">
        <w:t>Remove “FFS how to perform RACH-less UL synchronization to NTN target cell”, RAN2 assumes the UL sync handling in the target cell is the same in RACH-based HO and RACH-less HO, except how to acquire NTA (FFS on the spec impact , if any)</w:t>
      </w:r>
    </w:p>
    <w:p w14:paraId="613ED904" w14:textId="77777777" w:rsidR="00FC0037" w:rsidRDefault="00FC0037" w:rsidP="00245D51"/>
    <w:p w14:paraId="0B6B9E37" w14:textId="45BA1026" w:rsidR="00D27AC4" w:rsidRDefault="006B164B" w:rsidP="00245D51">
      <w:r>
        <w:t xml:space="preserve">Based on above </w:t>
      </w:r>
      <w:r w:rsidRPr="006B164B">
        <w:rPr>
          <w:highlight w:val="yellow"/>
        </w:rPr>
        <w:t>highlighted part</w:t>
      </w:r>
      <w:r w:rsidR="00D27AC4">
        <w:t>, NTN has agreed to consider below two beam handling to check with RAN1:</w:t>
      </w:r>
    </w:p>
    <w:p w14:paraId="598861FA" w14:textId="73429E14" w:rsidR="00D27AC4" w:rsidRDefault="00D27AC4" w:rsidP="00D27AC4">
      <w:pPr>
        <w:pStyle w:val="ListParagraph"/>
        <w:numPr>
          <w:ilvl w:val="0"/>
          <w:numId w:val="49"/>
        </w:numPr>
        <w:ind w:firstLineChars="0"/>
      </w:pPr>
      <w:r>
        <w:t>HO command provides Type-1 CG with associated SSB and RSRP threshold as pre-allocated grant.</w:t>
      </w:r>
    </w:p>
    <w:p w14:paraId="5F549AFC" w14:textId="60FDDD29" w:rsidR="00D27AC4" w:rsidRDefault="00D27AC4" w:rsidP="00D27AC4">
      <w:pPr>
        <w:pStyle w:val="ListParagraph"/>
        <w:numPr>
          <w:ilvl w:val="1"/>
          <w:numId w:val="49"/>
        </w:numPr>
        <w:ind w:firstLineChars="0"/>
      </w:pPr>
      <w:r>
        <w:t>The UE behavior is same as beam selection in CG based SDT.</w:t>
      </w:r>
    </w:p>
    <w:p w14:paraId="708D253E" w14:textId="618B52F2" w:rsidR="00D27AC4" w:rsidRDefault="00D27AC4" w:rsidP="00D27AC4">
      <w:pPr>
        <w:pStyle w:val="ListParagraph"/>
        <w:numPr>
          <w:ilvl w:val="0"/>
          <w:numId w:val="49"/>
        </w:numPr>
        <w:ind w:firstLineChars="0"/>
      </w:pPr>
      <w:r>
        <w:t xml:space="preserve">HO command provides beam indication for monitoring PDCCH of initial UL transmission in target cell, if pre-allocated grant is not provided. </w:t>
      </w:r>
    </w:p>
    <w:p w14:paraId="7D758950" w14:textId="757D1CF7" w:rsidR="00E55917" w:rsidRPr="00E55917" w:rsidRDefault="00D27AC4" w:rsidP="00E55917">
      <w:pPr>
        <w:pStyle w:val="ListParagraph"/>
        <w:numPr>
          <w:ilvl w:val="1"/>
          <w:numId w:val="49"/>
        </w:numPr>
        <w:ind w:firstLineChars="0"/>
      </w:pPr>
      <w:r>
        <w:t>The UE behavior is to monitor PDCCH with assumption that its transmit beam is same as the indicated TCI.</w:t>
      </w:r>
    </w:p>
    <w:p w14:paraId="39872544" w14:textId="0008A33D" w:rsidR="007C0FDA" w:rsidRDefault="00DE7A8A" w:rsidP="00245D51">
      <w:pPr>
        <w:rPr>
          <w:b/>
          <w:bCs/>
          <w:color w:val="auto"/>
        </w:rPr>
      </w:pPr>
      <w:r>
        <w:rPr>
          <w:b/>
          <w:bCs/>
          <w:color w:val="auto"/>
        </w:rPr>
        <w:t>Observation</w:t>
      </w:r>
      <w:r w:rsidRPr="00BF7383">
        <w:rPr>
          <w:b/>
          <w:bCs/>
          <w:color w:val="auto"/>
        </w:rPr>
        <w:t xml:space="preserve"> </w:t>
      </w:r>
      <w:r>
        <w:rPr>
          <w:b/>
          <w:bCs/>
          <w:color w:val="auto"/>
        </w:rPr>
        <w:t>2</w:t>
      </w:r>
      <w:r w:rsidRPr="00BF7383">
        <w:rPr>
          <w:b/>
          <w:bCs/>
          <w:color w:val="auto"/>
        </w:rPr>
        <w:t xml:space="preserve">: </w:t>
      </w:r>
      <w:r>
        <w:rPr>
          <w:b/>
          <w:bCs/>
          <w:color w:val="auto"/>
        </w:rPr>
        <w:t xml:space="preserve">In RAN2#121b-e, NTN WI has agreed below two </w:t>
      </w:r>
      <w:r w:rsidRPr="00DE7A8A">
        <w:rPr>
          <w:b/>
          <w:bCs/>
          <w:color w:val="auto"/>
        </w:rPr>
        <w:t>basic beam handling mechanism</w:t>
      </w:r>
      <w:r>
        <w:rPr>
          <w:b/>
          <w:bCs/>
          <w:color w:val="auto"/>
        </w:rPr>
        <w:t xml:space="preserve">s </w:t>
      </w:r>
      <w:r w:rsidRPr="00DE7A8A">
        <w:rPr>
          <w:b/>
          <w:bCs/>
          <w:color w:val="auto"/>
        </w:rPr>
        <w:t xml:space="preserve">with LS to </w:t>
      </w:r>
      <w:r>
        <w:rPr>
          <w:b/>
          <w:bCs/>
          <w:color w:val="auto"/>
        </w:rPr>
        <w:t xml:space="preserve">check </w:t>
      </w:r>
      <w:r w:rsidRPr="00DE7A8A">
        <w:rPr>
          <w:b/>
          <w:bCs/>
          <w:color w:val="auto"/>
        </w:rPr>
        <w:t>RAN1</w:t>
      </w:r>
      <w:r>
        <w:rPr>
          <w:b/>
          <w:bCs/>
          <w:color w:val="auto"/>
        </w:rPr>
        <w:t>:</w:t>
      </w:r>
    </w:p>
    <w:p w14:paraId="43CD97EC" w14:textId="01B83B71" w:rsidR="00DE7A8A" w:rsidRPr="00DE7A8A" w:rsidRDefault="00DE7A8A" w:rsidP="009C4399">
      <w:pPr>
        <w:pStyle w:val="ListParagraph"/>
        <w:numPr>
          <w:ilvl w:val="0"/>
          <w:numId w:val="72"/>
        </w:numPr>
        <w:ind w:firstLineChars="0"/>
        <w:rPr>
          <w:b/>
          <w:bCs/>
        </w:rPr>
      </w:pPr>
      <w:r w:rsidRPr="00DE7A8A">
        <w:rPr>
          <w:b/>
          <w:bCs/>
        </w:rPr>
        <w:t>HO command provides Type-1 CG with associated SSB and RSRP threshold as pre-allocated grant. The UE behavior is same as beam selection in CG based SDT.</w:t>
      </w:r>
    </w:p>
    <w:p w14:paraId="507291B0" w14:textId="197772F6" w:rsidR="00DE7A8A" w:rsidRDefault="00DE7A8A" w:rsidP="009C4399">
      <w:pPr>
        <w:pStyle w:val="ListParagraph"/>
        <w:numPr>
          <w:ilvl w:val="0"/>
          <w:numId w:val="72"/>
        </w:numPr>
        <w:ind w:firstLineChars="0"/>
        <w:rPr>
          <w:b/>
          <w:bCs/>
        </w:rPr>
      </w:pPr>
      <w:r w:rsidRPr="00DE7A8A">
        <w:rPr>
          <w:b/>
          <w:bCs/>
        </w:rPr>
        <w:t>HO command provides beam indication (TCI)</w:t>
      </w:r>
      <w:r>
        <w:rPr>
          <w:b/>
          <w:bCs/>
        </w:rPr>
        <w:t xml:space="preserve"> to </w:t>
      </w:r>
      <w:r w:rsidRPr="00DE7A8A">
        <w:rPr>
          <w:b/>
          <w:bCs/>
        </w:rPr>
        <w:t xml:space="preserve">monitor PDCCH of initial UL transmission in target cell, if pre-allocated grant is not provided. The UE monitors PDCCH </w:t>
      </w:r>
      <w:r>
        <w:rPr>
          <w:b/>
          <w:bCs/>
        </w:rPr>
        <w:t>with</w:t>
      </w:r>
      <w:r w:rsidRPr="00DE7A8A">
        <w:rPr>
          <w:b/>
          <w:bCs/>
        </w:rPr>
        <w:t xml:space="preserve"> </w:t>
      </w:r>
      <w:r>
        <w:rPr>
          <w:b/>
          <w:bCs/>
        </w:rPr>
        <w:t xml:space="preserve">the </w:t>
      </w:r>
      <w:r w:rsidRPr="00DE7A8A">
        <w:rPr>
          <w:b/>
          <w:bCs/>
        </w:rPr>
        <w:t>beam indicated by TCI.</w:t>
      </w:r>
    </w:p>
    <w:p w14:paraId="5BCD30FB" w14:textId="77777777" w:rsidR="00E0077B" w:rsidRDefault="00E0077B" w:rsidP="00E0077B">
      <w:pPr>
        <w:rPr>
          <w:color w:val="auto"/>
        </w:rPr>
      </w:pPr>
      <w:r w:rsidRPr="00ED7E61">
        <w:rPr>
          <w:color w:val="auto"/>
        </w:rPr>
        <w:t xml:space="preserve">They are aligned with below RAN2#122 agreement made in mobile IAB WI [3]. </w:t>
      </w:r>
    </w:p>
    <w:p w14:paraId="69DCF3C2" w14:textId="77777777" w:rsidR="00E0077B" w:rsidRPr="00521742" w:rsidRDefault="00E0077B" w:rsidP="00E0077B">
      <w:pPr>
        <w:pStyle w:val="Agreement"/>
        <w:tabs>
          <w:tab w:val="clear" w:pos="2250"/>
          <w:tab w:val="num" w:pos="1619"/>
        </w:tabs>
        <w:ind w:left="1619"/>
        <w:rPr>
          <w:lang w:eastAsia="en-US"/>
        </w:rPr>
      </w:pPr>
      <w:r w:rsidRPr="00521742">
        <w:rPr>
          <w:lang w:eastAsia="en-US"/>
        </w:rPr>
        <w:t>for the UL grant and HO completion</w:t>
      </w:r>
      <w:r>
        <w:rPr>
          <w:lang w:eastAsia="en-US"/>
        </w:rPr>
        <w:t xml:space="preserve"> in RACH-less HO</w:t>
      </w:r>
      <w:r w:rsidRPr="00521742">
        <w:rPr>
          <w:lang w:eastAsia="en-US"/>
        </w:rPr>
        <w:t>:</w:t>
      </w:r>
    </w:p>
    <w:p w14:paraId="5C804CDD" w14:textId="77777777" w:rsidR="00E0077B" w:rsidRDefault="00E0077B" w:rsidP="00E0077B">
      <w:pPr>
        <w:pStyle w:val="Agreement"/>
        <w:numPr>
          <w:ilvl w:val="0"/>
          <w:numId w:val="0"/>
        </w:numPr>
        <w:ind w:left="1619"/>
        <w:rPr>
          <w:lang w:eastAsia="en-US"/>
        </w:rPr>
      </w:pPr>
      <w:r w:rsidRPr="00521742">
        <w:rPr>
          <w:lang w:eastAsia="en-US"/>
        </w:rPr>
        <w:t>1. Both type-1 configured grant and dynamic grant are supported</w:t>
      </w:r>
    </w:p>
    <w:p w14:paraId="492F5953" w14:textId="77777777" w:rsidR="00E0077B" w:rsidRDefault="00E0077B" w:rsidP="00E0077B">
      <w:pPr>
        <w:pStyle w:val="Doc-text2"/>
        <w:rPr>
          <w:lang w:eastAsia="en-US"/>
        </w:rPr>
      </w:pPr>
    </w:p>
    <w:p w14:paraId="1DABB8D5" w14:textId="26D4C31A" w:rsidR="00E0077B" w:rsidRDefault="00E0077B" w:rsidP="00E0077B">
      <w:pPr>
        <w:rPr>
          <w:color w:val="auto"/>
        </w:rPr>
      </w:pPr>
      <w:r w:rsidRPr="00E0077B">
        <w:rPr>
          <w:color w:val="auto"/>
        </w:rPr>
        <w:t xml:space="preserve">Thus, we think </w:t>
      </w:r>
      <w:r>
        <w:rPr>
          <w:color w:val="auto"/>
        </w:rPr>
        <w:t>mobile IAB WI can confirm it.</w:t>
      </w:r>
    </w:p>
    <w:p w14:paraId="0BF663C1" w14:textId="77777777" w:rsidR="00E0077B" w:rsidRDefault="00E0077B" w:rsidP="00E0077B">
      <w:pPr>
        <w:rPr>
          <w:b/>
          <w:bCs/>
          <w:color w:val="auto"/>
        </w:rPr>
      </w:pPr>
      <w:r w:rsidRPr="0033712C">
        <w:rPr>
          <w:b/>
          <w:bCs/>
          <w:color w:val="auto"/>
          <w:lang w:val="en-CN"/>
        </w:rPr>
        <w:t xml:space="preserve">Proposal </w:t>
      </w:r>
      <w:r>
        <w:rPr>
          <w:b/>
          <w:bCs/>
          <w:color w:val="auto"/>
        </w:rPr>
        <w:t>2</w:t>
      </w:r>
      <w:r w:rsidRPr="0033712C">
        <w:rPr>
          <w:b/>
          <w:bCs/>
          <w:color w:val="auto"/>
          <w:lang w:val="en-CN"/>
        </w:rPr>
        <w:t xml:space="preserve">: </w:t>
      </w:r>
      <w:r>
        <w:rPr>
          <w:b/>
          <w:bCs/>
          <w:color w:val="auto"/>
        </w:rPr>
        <w:t>RAN2 confirm below two beam handling mechanisms agreed in NTN WI are reused in mobile IAB:</w:t>
      </w:r>
    </w:p>
    <w:p w14:paraId="4123CC61" w14:textId="7F8BC3C5" w:rsidR="00E0077B" w:rsidRPr="00DE7A8A" w:rsidRDefault="00E0077B" w:rsidP="00E0077B">
      <w:pPr>
        <w:pStyle w:val="ListParagraph"/>
        <w:numPr>
          <w:ilvl w:val="0"/>
          <w:numId w:val="79"/>
        </w:numPr>
        <w:ind w:firstLineChars="0"/>
        <w:rPr>
          <w:b/>
          <w:bCs/>
        </w:rPr>
      </w:pPr>
      <w:r w:rsidRPr="00DE7A8A">
        <w:rPr>
          <w:b/>
          <w:bCs/>
        </w:rPr>
        <w:t>HO command provides Type-1 CG with associated SSB and RSRP threshold as pre-allocated grant. The UE behavior is same as beam selection in CG based SDT.</w:t>
      </w:r>
    </w:p>
    <w:p w14:paraId="15646B60" w14:textId="77777777" w:rsidR="00E0077B" w:rsidRDefault="00E0077B" w:rsidP="00E0077B">
      <w:pPr>
        <w:pStyle w:val="ListParagraph"/>
        <w:numPr>
          <w:ilvl w:val="0"/>
          <w:numId w:val="79"/>
        </w:numPr>
        <w:ind w:firstLineChars="0"/>
        <w:rPr>
          <w:b/>
          <w:bCs/>
        </w:rPr>
      </w:pPr>
      <w:r w:rsidRPr="00DE7A8A">
        <w:rPr>
          <w:b/>
          <w:bCs/>
        </w:rPr>
        <w:t>HO command provides beam indication (TCI)</w:t>
      </w:r>
      <w:r>
        <w:rPr>
          <w:b/>
          <w:bCs/>
        </w:rPr>
        <w:t xml:space="preserve"> to </w:t>
      </w:r>
      <w:r w:rsidRPr="00DE7A8A">
        <w:rPr>
          <w:b/>
          <w:bCs/>
        </w:rPr>
        <w:t xml:space="preserve">monitor PDCCH of initial UL transmission in target cell, if pre-allocated grant is not provided. The UE monitors PDCCH </w:t>
      </w:r>
      <w:r>
        <w:rPr>
          <w:b/>
          <w:bCs/>
        </w:rPr>
        <w:t>with</w:t>
      </w:r>
      <w:r w:rsidRPr="00DE7A8A">
        <w:rPr>
          <w:b/>
          <w:bCs/>
        </w:rPr>
        <w:t xml:space="preserve"> </w:t>
      </w:r>
      <w:r>
        <w:rPr>
          <w:b/>
          <w:bCs/>
        </w:rPr>
        <w:t xml:space="preserve">the </w:t>
      </w:r>
      <w:r w:rsidRPr="00DE7A8A">
        <w:rPr>
          <w:b/>
          <w:bCs/>
        </w:rPr>
        <w:t>beam indicated by TCI.</w:t>
      </w:r>
    </w:p>
    <w:p w14:paraId="6E9C4F81" w14:textId="77777777" w:rsidR="00CC157F" w:rsidRDefault="00B44044" w:rsidP="0033712C">
      <w:r>
        <w:lastRenderedPageBreak/>
        <w:t>Then,</w:t>
      </w:r>
      <w:r w:rsidR="00CC157F">
        <w:t xml:space="preserve"> we address below FFS:</w:t>
      </w:r>
    </w:p>
    <w:p w14:paraId="3A085A1B" w14:textId="77777777" w:rsidR="00CC157F" w:rsidRDefault="00CC157F" w:rsidP="00CC157F">
      <w:pPr>
        <w:pStyle w:val="Agreement"/>
        <w:numPr>
          <w:ilvl w:val="0"/>
          <w:numId w:val="0"/>
        </w:numPr>
        <w:ind w:left="1619"/>
        <w:rPr>
          <w:rFonts w:eastAsia="Times New Roman"/>
          <w:szCs w:val="20"/>
          <w:lang w:eastAsia="en-US"/>
        </w:rPr>
      </w:pPr>
      <w:r w:rsidRPr="00521742">
        <w:rPr>
          <w:rFonts w:eastAsia="Times New Roman"/>
          <w:szCs w:val="20"/>
          <w:lang w:eastAsia="en-US"/>
        </w:rPr>
        <w:t xml:space="preserve">2. </w:t>
      </w:r>
      <w:r>
        <w:rPr>
          <w:rFonts w:eastAsia="Times New Roman"/>
          <w:szCs w:val="20"/>
          <w:lang w:eastAsia="en-US"/>
        </w:rPr>
        <w:t>FFS handling of supervision timer and when</w:t>
      </w:r>
      <w:r w:rsidRPr="00521742">
        <w:rPr>
          <w:rFonts w:eastAsia="Times New Roman"/>
          <w:szCs w:val="20"/>
          <w:lang w:eastAsia="en-US"/>
        </w:rPr>
        <w:t xml:space="preserve"> HO is </w:t>
      </w:r>
      <w:r>
        <w:rPr>
          <w:rFonts w:eastAsia="Times New Roman"/>
          <w:szCs w:val="20"/>
          <w:lang w:eastAsia="en-US"/>
        </w:rPr>
        <w:t xml:space="preserve">considered successfully </w:t>
      </w:r>
      <w:r w:rsidRPr="00521742">
        <w:rPr>
          <w:rFonts w:eastAsia="Times New Roman"/>
          <w:szCs w:val="20"/>
          <w:lang w:eastAsia="en-US"/>
        </w:rPr>
        <w:t>complete</w:t>
      </w:r>
      <w:r>
        <w:rPr>
          <w:rFonts w:eastAsia="Times New Roman"/>
          <w:szCs w:val="20"/>
          <w:lang w:eastAsia="en-US"/>
        </w:rPr>
        <w:t xml:space="preserve"> (expect to align with other WI). </w:t>
      </w:r>
    </w:p>
    <w:p w14:paraId="6ED03015" w14:textId="77777777" w:rsidR="00CC157F" w:rsidRDefault="00CC157F" w:rsidP="0033712C"/>
    <w:p w14:paraId="17FFE367" w14:textId="20966341" w:rsidR="00B44044" w:rsidRDefault="00BC3C45" w:rsidP="0033712C">
      <w:pPr>
        <w:rPr>
          <w:rFonts w:eastAsia="Times New Roman"/>
          <w:lang w:eastAsia="en-US"/>
        </w:rPr>
      </w:pPr>
      <w:r>
        <w:t>B</w:t>
      </w:r>
      <w:r w:rsidR="00B44044">
        <w:t>ased on</w:t>
      </w:r>
      <w:r w:rsidR="00CC157F">
        <w:t xml:space="preserve"> </w:t>
      </w:r>
      <w:r w:rsidR="00CC157F" w:rsidRPr="00CC157F">
        <w:rPr>
          <w:highlight w:val="green"/>
        </w:rPr>
        <w:t>highlighted</w:t>
      </w:r>
      <w:r w:rsidR="00CC157F">
        <w:t xml:space="preserve"> part of NTN RACH-less HO agreements, we understand that at least legacy LTE RACH-less HO solution is reused for </w:t>
      </w:r>
      <w:r w:rsidR="00CC157F">
        <w:rPr>
          <w:rFonts w:eastAsia="Times New Roman"/>
          <w:lang w:eastAsia="en-US"/>
        </w:rPr>
        <w:t>handling of supervision timer and when</w:t>
      </w:r>
      <w:r w:rsidR="00CC157F" w:rsidRPr="00521742">
        <w:rPr>
          <w:rFonts w:eastAsia="Times New Roman"/>
          <w:lang w:eastAsia="en-US"/>
        </w:rPr>
        <w:t xml:space="preserve"> HO is </w:t>
      </w:r>
      <w:r w:rsidR="00CC157F">
        <w:rPr>
          <w:rFonts w:eastAsia="Times New Roman"/>
          <w:lang w:eastAsia="en-US"/>
        </w:rPr>
        <w:t xml:space="preserve">considered successfully </w:t>
      </w:r>
      <w:r w:rsidR="00CC157F" w:rsidRPr="00521742">
        <w:rPr>
          <w:rFonts w:eastAsia="Times New Roman"/>
          <w:lang w:eastAsia="en-US"/>
        </w:rPr>
        <w:t>complete</w:t>
      </w:r>
      <w:r w:rsidR="00B14F9F">
        <w:rPr>
          <w:rFonts w:eastAsia="Times New Roman"/>
          <w:lang w:eastAsia="en-US"/>
        </w:rPr>
        <w:t>. It is sufficient for RACH-less in mobile IAB.</w:t>
      </w:r>
    </w:p>
    <w:p w14:paraId="63196222" w14:textId="365677F9" w:rsidR="00B14F9F" w:rsidRPr="006B164B" w:rsidRDefault="00B14F9F" w:rsidP="00B14F9F">
      <w:pPr>
        <w:rPr>
          <w:b/>
          <w:bCs/>
        </w:rPr>
      </w:pPr>
      <w:r w:rsidRPr="006B164B">
        <w:rPr>
          <w:b/>
          <w:bCs/>
        </w:rPr>
        <w:t xml:space="preserve">Observation </w:t>
      </w:r>
      <w:r>
        <w:rPr>
          <w:b/>
          <w:bCs/>
        </w:rPr>
        <w:t>3</w:t>
      </w:r>
      <w:r w:rsidRPr="006B164B">
        <w:rPr>
          <w:b/>
          <w:bCs/>
        </w:rPr>
        <w:t xml:space="preserve">: </w:t>
      </w:r>
      <w:r w:rsidR="00BD2D16">
        <w:rPr>
          <w:b/>
          <w:bCs/>
        </w:rPr>
        <w:t xml:space="preserve">In RACH-less HO of NTN, it was agreed </w:t>
      </w:r>
      <w:r w:rsidR="00BD2D16" w:rsidRPr="00BD2D16">
        <w:rPr>
          <w:b/>
          <w:bCs/>
        </w:rPr>
        <w:t>that at least legacy LTE RACH-less HO solution is reused for handling of supervision timer and when HO is considered successfully complete</w:t>
      </w:r>
      <w:r>
        <w:rPr>
          <w:b/>
          <w:bCs/>
        </w:rPr>
        <w:t>.</w:t>
      </w:r>
    </w:p>
    <w:p w14:paraId="43665BAC" w14:textId="368C8509" w:rsidR="00B44044" w:rsidRDefault="00BD2D16" w:rsidP="0033712C">
      <w:r>
        <w:t>Thus, we propose:</w:t>
      </w:r>
    </w:p>
    <w:p w14:paraId="1F1FF561" w14:textId="29B310A7" w:rsidR="0033712C" w:rsidRPr="004E3342" w:rsidRDefault="00E94859" w:rsidP="00BD2D16">
      <w:pPr>
        <w:rPr>
          <w:b/>
          <w:bCs/>
          <w:color w:val="auto"/>
        </w:rPr>
      </w:pPr>
      <w:r w:rsidRPr="004E3342">
        <w:rPr>
          <w:b/>
          <w:bCs/>
          <w:color w:val="auto"/>
        </w:rPr>
        <w:t xml:space="preserve">Proposal </w:t>
      </w:r>
      <w:r w:rsidR="00BD2D16">
        <w:rPr>
          <w:b/>
          <w:bCs/>
          <w:color w:val="auto"/>
        </w:rPr>
        <w:t>3</w:t>
      </w:r>
      <w:r w:rsidRPr="004E3342">
        <w:rPr>
          <w:b/>
          <w:bCs/>
          <w:color w:val="auto"/>
        </w:rPr>
        <w:t xml:space="preserve">: </w:t>
      </w:r>
      <w:r w:rsidR="00BD2D16">
        <w:rPr>
          <w:b/>
          <w:bCs/>
          <w:color w:val="auto"/>
        </w:rPr>
        <w:t xml:space="preserve">On </w:t>
      </w:r>
      <w:r w:rsidR="00BD2D16" w:rsidRPr="004E3342">
        <w:rPr>
          <w:b/>
          <w:bCs/>
          <w:color w:val="auto"/>
        </w:rPr>
        <w:t>handling of supervision timer and when HO is considered successfully complete,</w:t>
      </w:r>
      <w:r w:rsidR="00BD2D16">
        <w:rPr>
          <w:b/>
          <w:bCs/>
          <w:color w:val="auto"/>
        </w:rPr>
        <w:t xml:space="preserve"> reuse the same solution of </w:t>
      </w:r>
      <w:r w:rsidR="00BD2D16" w:rsidRPr="004E3342">
        <w:rPr>
          <w:b/>
          <w:bCs/>
          <w:color w:val="auto"/>
        </w:rPr>
        <w:t xml:space="preserve">RACH-less HO of NTN (i.e. </w:t>
      </w:r>
      <w:r w:rsidR="004E3342" w:rsidRPr="004E3342">
        <w:rPr>
          <w:b/>
          <w:bCs/>
          <w:color w:val="auto"/>
        </w:rPr>
        <w:t>UE Contention Resolution Identity MAC CE is used but UE ignores the content of this field.</w:t>
      </w:r>
      <w:r w:rsidR="00BD2D16" w:rsidRPr="004E3342">
        <w:rPr>
          <w:b/>
          <w:bCs/>
          <w:color w:val="auto"/>
        </w:rPr>
        <w:t>)</w:t>
      </w:r>
    </w:p>
    <w:p w14:paraId="5DE85ABB" w14:textId="7BE67BB2" w:rsidR="00F14130" w:rsidRPr="00F14130" w:rsidRDefault="00F14130" w:rsidP="00F14130">
      <w:pPr>
        <w:pStyle w:val="Heading2"/>
        <w:rPr>
          <w:lang w:val="en-US"/>
        </w:rPr>
      </w:pPr>
      <w:r>
        <w:t xml:space="preserve">2.2 </w:t>
      </w:r>
      <w:r w:rsidR="0047562D">
        <w:rPr>
          <w:lang w:val="en-US"/>
        </w:rPr>
        <w:t>CHO enhancement</w:t>
      </w:r>
    </w:p>
    <w:p w14:paraId="4713016F" w14:textId="5F7BED8E" w:rsidR="008F6C36" w:rsidRDefault="008717BD" w:rsidP="0033712C">
      <w:pPr>
        <w:rPr>
          <w:color w:val="auto"/>
        </w:rPr>
      </w:pPr>
      <w:r>
        <w:rPr>
          <w:color w:val="auto"/>
        </w:rPr>
        <w:t>In RAN2#121b-e [3]</w:t>
      </w:r>
      <w:r w:rsidR="00425707">
        <w:rPr>
          <w:color w:val="auto"/>
        </w:rPr>
        <w:t>,</w:t>
      </w:r>
      <w:r>
        <w:rPr>
          <w:color w:val="auto"/>
        </w:rPr>
        <w:t xml:space="preserve"> CHO enhancement was discussed, and it is FFS whether to support CHO with CondT1</w:t>
      </w:r>
      <w:r w:rsidR="003259CC">
        <w:rPr>
          <w:color w:val="auto"/>
        </w:rPr>
        <w:t xml:space="preserve"> for mobile IAB</w:t>
      </w:r>
      <w:r>
        <w:rPr>
          <w:color w:val="auto"/>
        </w:rPr>
        <w:t>.</w:t>
      </w:r>
    </w:p>
    <w:p w14:paraId="2AD6D1EE" w14:textId="77777777" w:rsidR="008717BD" w:rsidRDefault="00000000" w:rsidP="008717BD">
      <w:pPr>
        <w:pStyle w:val="Doc-title"/>
      </w:pPr>
      <w:hyperlink r:id="rId8" w:tooltip="C:Usersmtk65284Documents3GPPtsg_ranWG2_RL2TSGR2_121bis-eDocsR2-2303852.zip" w:history="1">
        <w:r w:rsidR="008717BD" w:rsidRPr="00EC2836">
          <w:rPr>
            <w:rStyle w:val="Hyperlink"/>
          </w:rPr>
          <w:t>R2-2303852</w:t>
        </w:r>
      </w:hyperlink>
      <w:r w:rsidR="008717BD" w:rsidRPr="00EC2836">
        <w:tab/>
        <w:t>On the need for connected mode mobility enhancements for mIAB</w:t>
      </w:r>
      <w:r w:rsidR="008717BD" w:rsidRPr="00EC2836">
        <w:tab/>
        <w:t>LG Electronics France</w:t>
      </w:r>
      <w:r w:rsidR="008717BD" w:rsidRPr="00EC2836">
        <w:tab/>
        <w:t>discussion</w:t>
      </w:r>
      <w:r w:rsidR="008717BD" w:rsidRPr="00EC2836">
        <w:tab/>
        <w:t>NR_mobile_IAB-Core</w:t>
      </w:r>
    </w:p>
    <w:p w14:paraId="0E405AFA" w14:textId="77777777" w:rsidR="008717BD" w:rsidRDefault="008717BD" w:rsidP="008717BD">
      <w:pPr>
        <w:pStyle w:val="Doc-text2"/>
      </w:pPr>
      <w:r>
        <w:t>P4</w:t>
      </w:r>
    </w:p>
    <w:p w14:paraId="55EEE630" w14:textId="77777777" w:rsidR="008717BD" w:rsidRDefault="008717BD" w:rsidP="008717BD">
      <w:pPr>
        <w:pStyle w:val="Doc-text2"/>
      </w:pPr>
      <w:r>
        <w:t>-</w:t>
      </w:r>
      <w:r>
        <w:tab/>
        <w:t xml:space="preserve">AT&amp;T think this is aligned with the AT&amp;T problem scenario. </w:t>
      </w:r>
    </w:p>
    <w:p w14:paraId="49019036" w14:textId="77777777" w:rsidR="008717BD" w:rsidRDefault="008717BD" w:rsidP="008717BD">
      <w:pPr>
        <w:pStyle w:val="Doc-text2"/>
      </w:pPr>
      <w:r>
        <w:t>-</w:t>
      </w:r>
      <w:r>
        <w:tab/>
        <w:t>CATT think the enhancement cmp to legacy HO is small. .</w:t>
      </w:r>
    </w:p>
    <w:p w14:paraId="5C063A1D" w14:textId="77777777" w:rsidR="008717BD" w:rsidRDefault="008717BD" w:rsidP="008717BD">
      <w:pPr>
        <w:pStyle w:val="Doc-text2"/>
      </w:pPr>
      <w:r>
        <w:t>-</w:t>
      </w:r>
      <w:r>
        <w:tab/>
        <w:t xml:space="preserve">AT&amp;T think that also the timing is important, and CHO has less dependency to real time restrictions. </w:t>
      </w:r>
    </w:p>
    <w:p w14:paraId="75F043D9" w14:textId="77777777" w:rsidR="008717BD" w:rsidRDefault="008717BD" w:rsidP="008717BD">
      <w:pPr>
        <w:pStyle w:val="Doc-text2"/>
      </w:pPr>
      <w:r>
        <w:t>-</w:t>
      </w:r>
      <w:r>
        <w:tab/>
        <w:t xml:space="preserve">Ericsson think that once CHO can be configured then also legacy HO can be done. </w:t>
      </w:r>
    </w:p>
    <w:p w14:paraId="1D67C974" w14:textId="77777777" w:rsidR="008717BD" w:rsidRDefault="008717BD" w:rsidP="008717BD">
      <w:pPr>
        <w:pStyle w:val="Doc-text2"/>
      </w:pPr>
      <w:r>
        <w:t>-</w:t>
      </w:r>
      <w:r>
        <w:tab/>
        <w:t xml:space="preserve">Chair: there is some support and some opposition. </w:t>
      </w:r>
    </w:p>
    <w:p w14:paraId="31A83717" w14:textId="77777777" w:rsidR="008717BD" w:rsidRDefault="008717BD" w:rsidP="008717BD">
      <w:pPr>
        <w:pStyle w:val="Doc-text2"/>
      </w:pPr>
      <w:r>
        <w:t>-</w:t>
      </w:r>
      <w:r>
        <w:tab/>
        <w:t xml:space="preserve">Apple wonder if the UE need to support GNSS. LG think T1 is based on absolute time. </w:t>
      </w:r>
    </w:p>
    <w:p w14:paraId="1D563FEE" w14:textId="77777777" w:rsidR="008717BD" w:rsidRDefault="008717BD" w:rsidP="008717BD">
      <w:pPr>
        <w:pStyle w:val="Agreement"/>
        <w:tabs>
          <w:tab w:val="clear" w:pos="2250"/>
          <w:tab w:val="num" w:pos="1619"/>
        </w:tabs>
        <w:ind w:left="1619"/>
      </w:pPr>
      <w:r>
        <w:t xml:space="preserve">FFS: May support CHO with CondT1 if it is “for free”, i.e. if TS impact is just to slightly modify the description to make it also applicable to TN. </w:t>
      </w:r>
    </w:p>
    <w:p w14:paraId="7FFC5F9A" w14:textId="02B66895" w:rsidR="00F021E1" w:rsidRDefault="00F021E1" w:rsidP="0033712C">
      <w:pPr>
        <w:rPr>
          <w:b/>
          <w:bCs/>
          <w:color w:val="auto"/>
        </w:rPr>
      </w:pPr>
    </w:p>
    <w:p w14:paraId="3782ECB8" w14:textId="000ED260" w:rsidR="00B60AF0" w:rsidRDefault="00B60AF0" w:rsidP="0033712C">
      <w:pPr>
        <w:rPr>
          <w:color w:val="auto"/>
        </w:rPr>
      </w:pPr>
      <w:r>
        <w:rPr>
          <w:color w:val="auto"/>
        </w:rPr>
        <w:t xml:space="preserve">Because the FFS requires </w:t>
      </w:r>
      <w:r w:rsidR="00051E8E">
        <w:rPr>
          <w:color w:val="auto"/>
        </w:rPr>
        <w:t>analysis of</w:t>
      </w:r>
      <w:r>
        <w:rPr>
          <w:color w:val="auto"/>
        </w:rPr>
        <w:t xml:space="preserve"> the TS impact, we provide a brief overview of existing CondT1. According to TS 38.300 [4], TS 38.331 [5] and TS 38.306 [6], the key points of CondT1 can be summarized below:</w:t>
      </w:r>
    </w:p>
    <w:p w14:paraId="00A1EB8D" w14:textId="2D9B6AAB" w:rsidR="00B60AF0" w:rsidRPr="00070D31" w:rsidRDefault="00070D31" w:rsidP="00070D31">
      <w:pPr>
        <w:pStyle w:val="ListParagraph"/>
        <w:numPr>
          <w:ilvl w:val="0"/>
          <w:numId w:val="53"/>
        </w:numPr>
        <w:ind w:firstLineChars="0"/>
      </w:pPr>
      <w:r>
        <w:t>CondT1 is only applicable to NTN, as specified in TS 38.306 [6]</w:t>
      </w:r>
      <w:r w:rsidR="00A05114">
        <w:t>.</w:t>
      </w:r>
      <w:r w:rsidR="00B60AF0" w:rsidRPr="00070D31">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05114" w:rsidRPr="001925DE" w14:paraId="556D08B7" w14:textId="77777777" w:rsidTr="00795BE6">
        <w:trPr>
          <w:cantSplit/>
          <w:tblHeader/>
        </w:trPr>
        <w:tc>
          <w:tcPr>
            <w:tcW w:w="6917" w:type="dxa"/>
          </w:tcPr>
          <w:p w14:paraId="4B582D3F" w14:textId="77777777" w:rsidR="00A05114" w:rsidRPr="001925DE" w:rsidRDefault="00A05114" w:rsidP="00795BE6">
            <w:pPr>
              <w:pStyle w:val="TAL"/>
              <w:rPr>
                <w:b/>
                <w:bCs/>
                <w:i/>
                <w:iCs/>
              </w:rPr>
            </w:pPr>
            <w:r w:rsidRPr="001925DE">
              <w:rPr>
                <w:b/>
                <w:bCs/>
                <w:i/>
                <w:iCs/>
              </w:rPr>
              <w:t>timeBasedCondHandover-r17</w:t>
            </w:r>
          </w:p>
          <w:p w14:paraId="10CCA9B9" w14:textId="77777777" w:rsidR="00A05114" w:rsidRPr="001925DE" w:rsidRDefault="00A05114" w:rsidP="00795BE6">
            <w:pPr>
              <w:pStyle w:val="TAL"/>
              <w:rPr>
                <w:b/>
                <w:bCs/>
                <w:i/>
                <w:iCs/>
              </w:rPr>
            </w:pPr>
            <w:r w:rsidRPr="001925DE">
              <w:t xml:space="preserve">Indicates whether the UE supports time based conditional handover, i.e., </w:t>
            </w:r>
            <w:r w:rsidRPr="001925DE">
              <w:rPr>
                <w:i/>
                <w:iCs/>
                <w:lang w:eastAsia="ko-KR"/>
              </w:rPr>
              <w:t>CondEvent T1</w:t>
            </w:r>
            <w:r w:rsidRPr="001925DE">
              <w:rPr>
                <w:lang w:eastAsia="ko-KR"/>
              </w:rPr>
              <w:t xml:space="preserve"> as specified in </w:t>
            </w:r>
            <w:r w:rsidRPr="001925DE">
              <w:t xml:space="preserve">TS 38.331 [9]. </w:t>
            </w:r>
            <w:r w:rsidRPr="00A05114">
              <w:rPr>
                <w:highlight w:val="yellow"/>
              </w:rPr>
              <w:t xml:space="preserve">A UE supporting this feature shall also indicate the support of </w:t>
            </w:r>
            <w:r w:rsidRPr="00A05114">
              <w:rPr>
                <w:i/>
                <w:iCs/>
                <w:highlight w:val="yellow"/>
              </w:rPr>
              <w:t>condHandover-r16</w:t>
            </w:r>
            <w:r w:rsidRPr="00A05114">
              <w:rPr>
                <w:highlight w:val="yellow"/>
              </w:rPr>
              <w:t xml:space="preserve"> for NTN bands and the </w:t>
            </w:r>
            <w:r w:rsidRPr="00A05114">
              <w:rPr>
                <w:rFonts w:eastAsia="MS PGothic" w:cs="Arial"/>
                <w:szCs w:val="18"/>
                <w:highlight w:val="yellow"/>
              </w:rPr>
              <w:t xml:space="preserve">support of </w:t>
            </w:r>
            <w:r w:rsidRPr="00A05114">
              <w:rPr>
                <w:rFonts w:eastAsia="MS PGothic" w:cs="Arial"/>
                <w:i/>
                <w:iCs/>
                <w:szCs w:val="18"/>
                <w:highlight w:val="yellow"/>
              </w:rPr>
              <w:t>nonTerrestrialNetwork-r17</w:t>
            </w:r>
            <w:r w:rsidRPr="00A05114">
              <w:rPr>
                <w:rFonts w:eastAsia="MS PGothic" w:cs="Arial"/>
                <w:szCs w:val="18"/>
                <w:highlight w:val="yellow"/>
              </w:rPr>
              <w:t>.</w:t>
            </w:r>
            <w:r w:rsidRPr="001925DE">
              <w:t xml:space="preserve"> </w:t>
            </w:r>
            <w:r w:rsidRPr="001925DE">
              <w:rPr>
                <w:rFonts w:eastAsia="MS PGothic" w:cs="Arial"/>
                <w:szCs w:val="18"/>
              </w:rPr>
              <w:t>UE shall set the capability value consistently for all FDD-FR1 NTN bands.</w:t>
            </w:r>
          </w:p>
        </w:tc>
        <w:tc>
          <w:tcPr>
            <w:tcW w:w="709" w:type="dxa"/>
          </w:tcPr>
          <w:p w14:paraId="1697DDE6" w14:textId="77777777" w:rsidR="00A05114" w:rsidRPr="001925DE" w:rsidRDefault="00A05114" w:rsidP="00795BE6">
            <w:pPr>
              <w:pStyle w:val="TAL"/>
              <w:jc w:val="center"/>
              <w:rPr>
                <w:rFonts w:cs="Arial"/>
                <w:szCs w:val="18"/>
              </w:rPr>
            </w:pPr>
            <w:r w:rsidRPr="001925DE">
              <w:t>Band</w:t>
            </w:r>
          </w:p>
        </w:tc>
        <w:tc>
          <w:tcPr>
            <w:tcW w:w="567" w:type="dxa"/>
          </w:tcPr>
          <w:p w14:paraId="5B28832A" w14:textId="77777777" w:rsidR="00A05114" w:rsidRPr="001925DE" w:rsidRDefault="00A05114" w:rsidP="00795BE6">
            <w:pPr>
              <w:pStyle w:val="TAL"/>
              <w:jc w:val="center"/>
              <w:rPr>
                <w:rFonts w:cs="Arial"/>
                <w:bCs/>
                <w:iCs/>
                <w:szCs w:val="18"/>
              </w:rPr>
            </w:pPr>
            <w:r w:rsidRPr="001925DE">
              <w:rPr>
                <w:rFonts w:cs="Arial"/>
                <w:bCs/>
                <w:iCs/>
                <w:szCs w:val="18"/>
              </w:rPr>
              <w:t>No</w:t>
            </w:r>
          </w:p>
        </w:tc>
        <w:tc>
          <w:tcPr>
            <w:tcW w:w="709" w:type="dxa"/>
          </w:tcPr>
          <w:p w14:paraId="3C3CCE74" w14:textId="77777777" w:rsidR="00A05114" w:rsidRPr="001925DE" w:rsidRDefault="00A05114" w:rsidP="00795BE6">
            <w:pPr>
              <w:pStyle w:val="TAL"/>
              <w:jc w:val="center"/>
              <w:rPr>
                <w:bCs/>
                <w:iCs/>
              </w:rPr>
            </w:pPr>
            <w:r w:rsidRPr="001925DE">
              <w:rPr>
                <w:bCs/>
                <w:iCs/>
              </w:rPr>
              <w:t>N/A</w:t>
            </w:r>
          </w:p>
        </w:tc>
        <w:tc>
          <w:tcPr>
            <w:tcW w:w="728" w:type="dxa"/>
          </w:tcPr>
          <w:p w14:paraId="03C91D13" w14:textId="77777777" w:rsidR="00A05114" w:rsidRPr="001925DE" w:rsidRDefault="00A05114" w:rsidP="00795BE6">
            <w:pPr>
              <w:pStyle w:val="TAL"/>
              <w:jc w:val="center"/>
              <w:rPr>
                <w:bCs/>
                <w:iCs/>
              </w:rPr>
            </w:pPr>
            <w:r w:rsidRPr="001925DE">
              <w:rPr>
                <w:rFonts w:cs="Arial"/>
                <w:bCs/>
                <w:iCs/>
                <w:szCs w:val="18"/>
              </w:rPr>
              <w:t>N/A</w:t>
            </w:r>
          </w:p>
        </w:tc>
      </w:tr>
    </w:tbl>
    <w:p w14:paraId="3696CAE0" w14:textId="77777777" w:rsidR="00B01726" w:rsidRDefault="00A05114" w:rsidP="00A05114">
      <w:pPr>
        <w:pStyle w:val="ListParagraph"/>
        <w:numPr>
          <w:ilvl w:val="0"/>
          <w:numId w:val="56"/>
        </w:numPr>
        <w:spacing w:before="180"/>
        <w:ind w:firstLineChars="0"/>
      </w:pPr>
      <w:r>
        <w:t>CondT1 is</w:t>
      </w:r>
      <w:r w:rsidR="00BD3DD8">
        <w:t xml:space="preserve"> based on absolute UTC time (i.e. Threshold of T1 is UTC time) as specified in TS 38.331 [5]</w:t>
      </w:r>
      <w:r>
        <w:t>.</w:t>
      </w:r>
      <w:r w:rsidRPr="00070D31">
        <w:t xml:space="preserve"> </w:t>
      </w:r>
    </w:p>
    <w:p w14:paraId="12CE2E6C" w14:textId="45858B62" w:rsidR="00A05114" w:rsidRPr="00070D31" w:rsidRDefault="00BD3DD8" w:rsidP="00B01726">
      <w:pPr>
        <w:pStyle w:val="ListParagraph"/>
        <w:numPr>
          <w:ilvl w:val="1"/>
          <w:numId w:val="56"/>
        </w:numPr>
        <w:ind w:firstLineChars="0"/>
      </w:pPr>
      <w:r>
        <w:t xml:space="preserve">The absolute UTC time (rather than relative timer) is used because it is </w:t>
      </w:r>
      <w:r w:rsidR="005A22CE">
        <w:t xml:space="preserve">not </w:t>
      </w:r>
      <w:r>
        <w:t>easy for gNB to pre-calculate RTT time of NTN</w:t>
      </w:r>
      <w:r w:rsidR="007776B2">
        <w:t>.</w:t>
      </w:r>
      <w:r w:rsidR="005A22CE">
        <w:t xml:space="preserve"> </w:t>
      </w:r>
      <w:r w:rsidR="007776B2">
        <w:t>And</w:t>
      </w:r>
      <w:r w:rsidR="005A22CE">
        <w:t xml:space="preserve"> NTN UE is always equipped with GNSS.</w:t>
      </w:r>
      <w:r>
        <w:t xml:space="preserve">  </w:t>
      </w:r>
      <w:r w:rsidR="00A05114" w:rsidRPr="00070D31">
        <w:t xml:space="preserve"> </w:t>
      </w:r>
    </w:p>
    <w:p w14:paraId="129699AD" w14:textId="77777777" w:rsidR="005A22CE" w:rsidRDefault="005A22CE" w:rsidP="00A103F6">
      <w:pPr>
        <w:pStyle w:val="PL"/>
        <w:shd w:val="clear" w:color="auto" w:fill="D9D9D9" w:themeFill="background1" w:themeFillShade="D9"/>
        <w:rPr>
          <w:lang w:val="en-CN" w:eastAsia="zh-CN"/>
        </w:rPr>
      </w:pPr>
      <w:r>
        <w:t xml:space="preserve">        condEventT1-r17                  </w:t>
      </w:r>
      <w:r>
        <w:rPr>
          <w:color w:val="993366"/>
        </w:rPr>
        <w:t>SEQUENCE</w:t>
      </w:r>
      <w:r>
        <w:t xml:space="preserve"> {</w:t>
      </w:r>
    </w:p>
    <w:p w14:paraId="369239D2" w14:textId="77777777" w:rsidR="005A22CE" w:rsidRDefault="005A22CE" w:rsidP="00A103F6">
      <w:pPr>
        <w:pStyle w:val="PL"/>
        <w:shd w:val="clear" w:color="auto" w:fill="D9D9D9" w:themeFill="background1" w:themeFillShade="D9"/>
      </w:pPr>
      <w:r>
        <w:t xml:space="preserve">            t1-Threshold-r17                 </w:t>
      </w:r>
      <w:r>
        <w:rPr>
          <w:color w:val="993366"/>
        </w:rPr>
        <w:t>INTEGER</w:t>
      </w:r>
      <w:r>
        <w:t xml:space="preserve"> (0..549755813887),</w:t>
      </w:r>
    </w:p>
    <w:p w14:paraId="22C0FB11" w14:textId="77777777" w:rsidR="005A22CE" w:rsidRDefault="005A22CE" w:rsidP="00A103F6">
      <w:pPr>
        <w:pStyle w:val="PL"/>
        <w:shd w:val="clear" w:color="auto" w:fill="D9D9D9" w:themeFill="background1" w:themeFillShade="D9"/>
      </w:pPr>
      <w:r>
        <w:t xml:space="preserve">            duration-r17                     </w:t>
      </w:r>
      <w:r>
        <w:rPr>
          <w:color w:val="993366"/>
        </w:rPr>
        <w:t>INTEGER</w:t>
      </w:r>
      <w:r>
        <w:t xml:space="preserve"> (1..6000)</w:t>
      </w:r>
    </w:p>
    <w:p w14:paraId="606C837B" w14:textId="77777777" w:rsidR="005A22CE" w:rsidRDefault="005A22CE" w:rsidP="00A103F6">
      <w:pPr>
        <w:pStyle w:val="PL"/>
        <w:shd w:val="clear" w:color="auto" w:fill="D9D9D9" w:themeFill="background1" w:themeFillShade="D9"/>
      </w:pPr>
      <w:r>
        <w:t xml:space="preserve">        }</w:t>
      </w: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A22CE" w14:paraId="7BE4E9E9" w14:textId="77777777" w:rsidTr="00D16807">
        <w:trPr>
          <w:trHeight w:val="462"/>
        </w:trPr>
        <w:tc>
          <w:tcPr>
            <w:tcW w:w="10031" w:type="dxa"/>
            <w:tcBorders>
              <w:top w:val="single" w:sz="4" w:space="0" w:color="auto"/>
              <w:left w:val="single" w:sz="4" w:space="0" w:color="auto"/>
              <w:bottom w:val="single" w:sz="4" w:space="0" w:color="auto"/>
              <w:right w:val="single" w:sz="4" w:space="0" w:color="auto"/>
            </w:tcBorders>
            <w:hideMark/>
          </w:tcPr>
          <w:p w14:paraId="01DB190D" w14:textId="77777777" w:rsidR="005A22CE" w:rsidRDefault="005A22CE">
            <w:pPr>
              <w:pStyle w:val="TAL"/>
              <w:rPr>
                <w:b/>
                <w:bCs/>
                <w:i/>
                <w:iCs/>
                <w:color w:val="auto"/>
                <w:lang w:val="en-CN" w:eastAsia="zh-CN"/>
              </w:rPr>
            </w:pPr>
            <w:r>
              <w:rPr>
                <w:b/>
                <w:bCs/>
                <w:i/>
                <w:iCs/>
              </w:rPr>
              <w:lastRenderedPageBreak/>
              <w:t>duration</w:t>
            </w:r>
          </w:p>
          <w:p w14:paraId="4D5CCB02" w14:textId="77777777" w:rsidR="005A22CE" w:rsidRDefault="005A22CE">
            <w:pPr>
              <w:pStyle w:val="TAL"/>
            </w:pPr>
            <w:r>
              <w:t xml:space="preserve">This field is used for defining the leaving condition T1-2 for conditional HO event </w:t>
            </w:r>
            <w:r>
              <w:rPr>
                <w:i/>
                <w:iCs/>
              </w:rPr>
              <w:t>condEventT1</w:t>
            </w:r>
            <w:r>
              <w:t>. Each step represents 100ms.</w:t>
            </w:r>
          </w:p>
        </w:tc>
      </w:tr>
      <w:tr w:rsidR="005A22CE" w14:paraId="15400780" w14:textId="77777777" w:rsidTr="00D16807">
        <w:trPr>
          <w:trHeight w:val="680"/>
        </w:trPr>
        <w:tc>
          <w:tcPr>
            <w:tcW w:w="10031" w:type="dxa"/>
            <w:tcBorders>
              <w:top w:val="single" w:sz="4" w:space="0" w:color="auto"/>
              <w:left w:val="single" w:sz="4" w:space="0" w:color="auto"/>
              <w:bottom w:val="single" w:sz="4" w:space="0" w:color="auto"/>
              <w:right w:val="single" w:sz="4" w:space="0" w:color="auto"/>
            </w:tcBorders>
            <w:hideMark/>
          </w:tcPr>
          <w:p w14:paraId="17EE8CDA" w14:textId="77777777" w:rsidR="005A22CE" w:rsidRDefault="005A22CE">
            <w:pPr>
              <w:pStyle w:val="TAL"/>
              <w:rPr>
                <w:b/>
                <w:bCs/>
                <w:i/>
                <w:iCs/>
              </w:rPr>
            </w:pPr>
            <w:r>
              <w:rPr>
                <w:b/>
                <w:bCs/>
                <w:i/>
                <w:iCs/>
              </w:rPr>
              <w:t>t1-Threshold</w:t>
            </w:r>
          </w:p>
          <w:p w14:paraId="359E4EC1" w14:textId="77777777" w:rsidR="005A22CE" w:rsidRDefault="005A22CE">
            <w:pPr>
              <w:pStyle w:val="TAL"/>
              <w:rPr>
                <w:b/>
                <w:bCs/>
                <w:i/>
                <w:iCs/>
              </w:rPr>
            </w:pPr>
            <w:r w:rsidRPr="00B01726">
              <w:rPr>
                <w:highlight w:val="yellow"/>
              </w:rPr>
              <w:t>The field counts the number of UTC seconds in 10 ms units</w:t>
            </w:r>
            <w:r>
              <w:t xml:space="preserve"> since 00:00:00 on Gregorian calendar date 1 January, 1900 (midnight between Sunday, December 31, 1899 and Monday, January 1, 1900).</w:t>
            </w:r>
          </w:p>
        </w:tc>
      </w:tr>
    </w:tbl>
    <w:p w14:paraId="540CA3F8" w14:textId="1CE4DD85" w:rsidR="00B01726" w:rsidRDefault="00B01726" w:rsidP="00B01726">
      <w:pPr>
        <w:pStyle w:val="ListParagraph"/>
        <w:numPr>
          <w:ilvl w:val="0"/>
          <w:numId w:val="56"/>
        </w:numPr>
        <w:spacing w:before="180"/>
        <w:ind w:firstLineChars="0"/>
      </w:pPr>
      <w:r>
        <w:t xml:space="preserve">CondT1 is always configured together with one of the measurement-based trigger conditions Ax (i.e. CHO events A3/A4/A5). Only when both CondT1 and CondAx </w:t>
      </w:r>
      <w:r w:rsidRPr="00B01726">
        <w:t>are fulfilled at the same time, UE will consider the target candidate cell as a triggered cell</w:t>
      </w:r>
      <w:r>
        <w:t xml:space="preserve"> (i.e. AND between CondT1 and Cond Ax)</w:t>
      </w:r>
      <w:r w:rsidR="00EC6363">
        <w:t>.</w:t>
      </w:r>
    </w:p>
    <w:p w14:paraId="5CBFA620" w14:textId="1A2D8A7D" w:rsidR="00EC6363" w:rsidRPr="00B01726" w:rsidRDefault="00EC6363" w:rsidP="00EC6363">
      <w:pPr>
        <w:pStyle w:val="ListParagraph"/>
        <w:numPr>
          <w:ilvl w:val="1"/>
          <w:numId w:val="56"/>
        </w:numPr>
        <w:ind w:firstLineChars="0"/>
      </w:pPr>
      <w:r>
        <w:t xml:space="preserve">AND (rather than OR) is specified because the time in CondT1 is to indicate </w:t>
      </w:r>
      <w:r>
        <w:rPr>
          <w:lang w:eastAsia="zh-CN"/>
        </w:rPr>
        <w:t>the arriving time of the target cell due to fixed satellite moving pattern</w:t>
      </w:r>
      <w:r>
        <w:t>.</w:t>
      </w:r>
      <w:r w:rsidR="00BC4AA5">
        <w:t xml:space="preserve"> Thus, </w:t>
      </w:r>
      <w:r w:rsidR="00BB2640">
        <w:t xml:space="preserve">the UE is allowed to execute HO only when both conditions are </w:t>
      </w:r>
      <w:r w:rsidR="007E055D">
        <w:t>fulfilled</w:t>
      </w:r>
      <w:r w:rsidR="00BB2640">
        <w:t xml:space="preserve">. </w:t>
      </w:r>
      <w:r>
        <w:t xml:space="preserve">  </w:t>
      </w:r>
      <w:r w:rsidRPr="00070D31">
        <w:t xml:space="preserve"> </w:t>
      </w:r>
    </w:p>
    <w:p w14:paraId="70C1B6D0" w14:textId="0755E0F6" w:rsidR="007E055D" w:rsidRDefault="007E055D" w:rsidP="007E055D">
      <w:pPr>
        <w:pStyle w:val="B1"/>
        <w:pBdr>
          <w:top w:val="single" w:sz="4" w:space="1" w:color="auto"/>
          <w:left w:val="single" w:sz="4" w:space="1" w:color="auto"/>
          <w:bottom w:val="single" w:sz="4" w:space="1" w:color="auto"/>
          <w:right w:val="single" w:sz="4" w:space="1" w:color="auto"/>
        </w:pBdr>
        <w:spacing w:after="60"/>
        <w:ind w:left="0" w:firstLine="0"/>
        <w:rPr>
          <w:b/>
          <w:bCs/>
          <w:sz w:val="24"/>
          <w:szCs w:val="24"/>
          <w:u w:val="single"/>
        </w:rPr>
      </w:pPr>
      <w:r w:rsidRPr="00DF2020">
        <w:rPr>
          <w:b/>
          <w:bCs/>
          <w:sz w:val="24"/>
          <w:szCs w:val="24"/>
          <w:u w:val="single"/>
        </w:rPr>
        <w:t xml:space="preserve">From Clause </w:t>
      </w:r>
      <w:r>
        <w:rPr>
          <w:b/>
          <w:bCs/>
          <w:sz w:val="24"/>
          <w:szCs w:val="24"/>
          <w:u w:val="single"/>
        </w:rPr>
        <w:t>5.3.5.13.4</w:t>
      </w:r>
      <w:r w:rsidRPr="00DF2020">
        <w:rPr>
          <w:b/>
          <w:bCs/>
          <w:sz w:val="24"/>
          <w:szCs w:val="24"/>
          <w:u w:val="single"/>
        </w:rPr>
        <w:t xml:space="preserve"> of TS 3</w:t>
      </w:r>
      <w:r>
        <w:rPr>
          <w:b/>
          <w:bCs/>
          <w:sz w:val="24"/>
          <w:szCs w:val="24"/>
          <w:u w:val="single"/>
        </w:rPr>
        <w:t>8.331:</w:t>
      </w:r>
    </w:p>
    <w:p w14:paraId="03A51FCD" w14:textId="54D9F641" w:rsidR="007E055D" w:rsidRDefault="007E055D" w:rsidP="007E055D">
      <w:pPr>
        <w:pBdr>
          <w:top w:val="single" w:sz="4" w:space="1" w:color="auto"/>
          <w:left w:val="single" w:sz="4" w:space="1" w:color="auto"/>
          <w:bottom w:val="single" w:sz="4" w:space="1" w:color="auto"/>
          <w:right w:val="single" w:sz="4" w:space="1" w:color="auto"/>
        </w:pBdr>
      </w:pPr>
      <w:r>
        <w:t>....</w:t>
      </w:r>
    </w:p>
    <w:p w14:paraId="56EDC893" w14:textId="5E83DC3E" w:rsidR="007E055D" w:rsidRDefault="007E055D" w:rsidP="007E055D">
      <w:pPr>
        <w:pStyle w:val="B2"/>
        <w:pBdr>
          <w:top w:val="single" w:sz="4" w:space="1" w:color="auto"/>
          <w:left w:val="single" w:sz="4" w:space="1" w:color="auto"/>
          <w:bottom w:val="single" w:sz="4" w:space="1" w:color="auto"/>
          <w:right w:val="single" w:sz="4" w:space="1" w:color="auto"/>
        </w:pBdr>
        <w:ind w:left="0" w:firstLine="0"/>
        <w:rPr>
          <w:color w:val="auto"/>
          <w:lang w:val="en-CN" w:eastAsia="zh-CN"/>
        </w:rPr>
      </w:pPr>
      <w:r>
        <w:t xml:space="preserve">2&gt; </w:t>
      </w:r>
      <w:r w:rsidRPr="007E055D">
        <w:rPr>
          <w:highlight w:val="yellow"/>
        </w:rPr>
        <w:t xml:space="preserve">if event(s) associated to </w:t>
      </w:r>
      <w:r w:rsidRPr="007E055D">
        <w:rPr>
          <w:b/>
          <w:bCs/>
          <w:highlight w:val="yellow"/>
        </w:rPr>
        <w:t xml:space="preserve">all </w:t>
      </w:r>
      <w:r w:rsidRPr="007E055D">
        <w:rPr>
          <w:b/>
          <w:bCs/>
          <w:i/>
          <w:iCs/>
          <w:highlight w:val="yellow"/>
        </w:rPr>
        <w:t>measId</w:t>
      </w:r>
      <w:r w:rsidRPr="007E055D">
        <w:rPr>
          <w:b/>
          <w:bCs/>
          <w:highlight w:val="yellow"/>
        </w:rPr>
        <w:t>(s)</w:t>
      </w:r>
      <w:r w:rsidRPr="007E055D">
        <w:rPr>
          <w:highlight w:val="yellow"/>
        </w:rPr>
        <w:t xml:space="preserve"> within </w:t>
      </w:r>
      <w:r w:rsidRPr="007E055D">
        <w:rPr>
          <w:i/>
          <w:iCs/>
          <w:highlight w:val="yellow"/>
        </w:rPr>
        <w:t>condTriggerConfig</w:t>
      </w:r>
      <w:r w:rsidRPr="007E055D">
        <w:rPr>
          <w:highlight w:val="yellow"/>
        </w:rPr>
        <w:t xml:space="preserve"> for a target candidate cell within the stored </w:t>
      </w:r>
      <w:r w:rsidRPr="007E055D">
        <w:rPr>
          <w:i/>
          <w:iCs/>
          <w:highlight w:val="yellow"/>
        </w:rPr>
        <w:t>condRRCReconfig</w:t>
      </w:r>
      <w:r w:rsidRPr="007E055D">
        <w:rPr>
          <w:highlight w:val="yellow"/>
        </w:rPr>
        <w:t xml:space="preserve"> are fulfilled</w:t>
      </w:r>
      <w:r>
        <w:t>:</w:t>
      </w:r>
    </w:p>
    <w:p w14:paraId="7B348B30" w14:textId="26CE93BA" w:rsidR="007E055D" w:rsidRDefault="007E055D" w:rsidP="007E055D">
      <w:pPr>
        <w:pStyle w:val="B3"/>
        <w:pBdr>
          <w:top w:val="single" w:sz="4" w:space="1" w:color="auto"/>
          <w:left w:val="single" w:sz="4" w:space="1" w:color="auto"/>
          <w:bottom w:val="single" w:sz="4" w:space="1" w:color="auto"/>
          <w:right w:val="single" w:sz="4" w:space="1" w:color="auto"/>
        </w:pBdr>
        <w:ind w:left="0" w:firstLine="0"/>
      </w:pPr>
      <w:r>
        <w:t xml:space="preserve">  3&gt; consider the target candidate cell within the stored </w:t>
      </w:r>
      <w:r>
        <w:rPr>
          <w:i/>
          <w:iCs/>
        </w:rPr>
        <w:t>condRRCReconfig</w:t>
      </w:r>
      <w:r>
        <w:t xml:space="preserve">, associated to that </w:t>
      </w:r>
      <w:r>
        <w:rPr>
          <w:i/>
          <w:iCs/>
        </w:rPr>
        <w:t>condReconfigId</w:t>
      </w:r>
      <w:r>
        <w:t>, as a triggered cell;</w:t>
      </w:r>
    </w:p>
    <w:p w14:paraId="29CC9DD6" w14:textId="506571C3" w:rsidR="007E055D" w:rsidRDefault="007E055D" w:rsidP="007E055D">
      <w:pPr>
        <w:pStyle w:val="B3"/>
        <w:pBdr>
          <w:top w:val="single" w:sz="4" w:space="1" w:color="auto"/>
          <w:left w:val="single" w:sz="4" w:space="1" w:color="auto"/>
          <w:bottom w:val="single" w:sz="4" w:space="1" w:color="auto"/>
          <w:right w:val="single" w:sz="4" w:space="1" w:color="auto"/>
        </w:pBdr>
        <w:ind w:left="0" w:firstLine="0"/>
        <w:rPr>
          <w:rFonts w:eastAsia="Times New Roman"/>
        </w:rPr>
      </w:pPr>
      <w:r>
        <w:t xml:space="preserve">  3&gt; initiate the conditional reconfiguration execution, as specified in 5.3.5.13.5;</w:t>
      </w:r>
    </w:p>
    <w:p w14:paraId="5E43DCAF" w14:textId="09FA7373" w:rsidR="00070D31" w:rsidRPr="007E055D" w:rsidRDefault="007E055D" w:rsidP="007E055D">
      <w:pPr>
        <w:spacing w:after="120"/>
        <w:rPr>
          <w:b/>
          <w:bCs/>
          <w:color w:val="auto"/>
        </w:rPr>
      </w:pPr>
      <w:r w:rsidRPr="007E055D">
        <w:rPr>
          <w:b/>
          <w:bCs/>
        </w:rPr>
        <w:t xml:space="preserve">Observation 4: </w:t>
      </w:r>
      <w:r w:rsidRPr="007E055D">
        <w:rPr>
          <w:b/>
          <w:bCs/>
          <w:color w:val="auto"/>
        </w:rPr>
        <w:t>The key points of existing CondT1 can be summarized below:</w:t>
      </w:r>
    </w:p>
    <w:p w14:paraId="29781259" w14:textId="734B6187" w:rsidR="007E055D" w:rsidRPr="007E055D" w:rsidRDefault="007E055D" w:rsidP="007E055D">
      <w:pPr>
        <w:pStyle w:val="ListParagraph"/>
        <w:numPr>
          <w:ilvl w:val="0"/>
          <w:numId w:val="63"/>
        </w:numPr>
        <w:spacing w:after="120"/>
        <w:ind w:firstLineChars="0"/>
        <w:rPr>
          <w:b/>
          <w:bCs/>
        </w:rPr>
      </w:pPr>
      <w:r w:rsidRPr="007E055D">
        <w:rPr>
          <w:b/>
          <w:bCs/>
        </w:rPr>
        <w:t>CondT1 is only applicable to NTN</w:t>
      </w:r>
    </w:p>
    <w:p w14:paraId="2FDD9213" w14:textId="6239A942" w:rsidR="007E055D" w:rsidRPr="007E055D" w:rsidRDefault="007E055D" w:rsidP="007E055D">
      <w:pPr>
        <w:pStyle w:val="ListParagraph"/>
        <w:numPr>
          <w:ilvl w:val="0"/>
          <w:numId w:val="63"/>
        </w:numPr>
        <w:spacing w:after="120"/>
        <w:ind w:firstLineChars="0"/>
        <w:rPr>
          <w:b/>
          <w:bCs/>
        </w:rPr>
      </w:pPr>
      <w:r w:rsidRPr="007E055D">
        <w:rPr>
          <w:b/>
          <w:bCs/>
        </w:rPr>
        <w:t>CondT1 is based on absolute UTC time (i.e. Threshold of T1 is UTC time)</w:t>
      </w:r>
    </w:p>
    <w:p w14:paraId="509BB4AF" w14:textId="617BADD6" w:rsidR="007E055D" w:rsidRPr="007E055D" w:rsidRDefault="007E055D" w:rsidP="007E055D">
      <w:pPr>
        <w:pStyle w:val="ListParagraph"/>
        <w:numPr>
          <w:ilvl w:val="0"/>
          <w:numId w:val="63"/>
        </w:numPr>
        <w:ind w:firstLineChars="0"/>
        <w:rPr>
          <w:b/>
          <w:bCs/>
        </w:rPr>
      </w:pPr>
      <w:r w:rsidRPr="007E055D">
        <w:rPr>
          <w:b/>
          <w:bCs/>
        </w:rPr>
        <w:t xml:space="preserve">CondT1 is always configured together with one of the measurement-based trigger conditions (i.e. CHO </w:t>
      </w:r>
      <w:r w:rsidR="00894A25">
        <w:rPr>
          <w:b/>
          <w:bCs/>
        </w:rPr>
        <w:t xml:space="preserve">Ax </w:t>
      </w:r>
      <w:r w:rsidRPr="007E055D">
        <w:rPr>
          <w:b/>
          <w:bCs/>
        </w:rPr>
        <w:t>events A3/A4/A5). Only when both CondT1 and CondAx are fulfilled at the same time, UE will consider the target candidate cell as a triggered cell (i.e. AND between CondT1 and Cond Ax).</w:t>
      </w:r>
    </w:p>
    <w:p w14:paraId="202BB358" w14:textId="77777777" w:rsidR="001358A2" w:rsidRDefault="001358A2" w:rsidP="0033712C">
      <w:pPr>
        <w:rPr>
          <w:color w:val="auto"/>
        </w:rPr>
      </w:pPr>
      <w:r>
        <w:rPr>
          <w:color w:val="auto"/>
        </w:rPr>
        <w:t>Thus, if CondT1 is supported in TN, we think these 3 aspects all need specification changes. Specifically, the changes should include:</w:t>
      </w:r>
    </w:p>
    <w:p w14:paraId="7F5B5824" w14:textId="77777777" w:rsidR="001358A2" w:rsidRDefault="001358A2" w:rsidP="001358A2">
      <w:pPr>
        <w:pStyle w:val="ListParagraph"/>
        <w:numPr>
          <w:ilvl w:val="0"/>
          <w:numId w:val="65"/>
        </w:numPr>
        <w:ind w:firstLineChars="0"/>
      </w:pPr>
      <w:r>
        <w:t>Specification change in TS 38.306 to allow non-NTN UE to apply CondT1.</w:t>
      </w:r>
    </w:p>
    <w:p w14:paraId="70AF4101" w14:textId="77777777" w:rsidR="001358A2" w:rsidRDefault="001358A2" w:rsidP="001358A2">
      <w:pPr>
        <w:pStyle w:val="ListParagraph"/>
        <w:numPr>
          <w:ilvl w:val="0"/>
          <w:numId w:val="65"/>
        </w:numPr>
        <w:ind w:firstLineChars="0"/>
      </w:pPr>
      <w:r>
        <w:t>Specification change in TS 38.331 to allow non-NTN UE without equipping GNSS to apply CondT1.</w:t>
      </w:r>
    </w:p>
    <w:p w14:paraId="4953DA6E" w14:textId="2CA8A030" w:rsidR="001358A2" w:rsidRDefault="001358A2" w:rsidP="001358A2">
      <w:pPr>
        <w:pStyle w:val="ListParagraph"/>
        <w:numPr>
          <w:ilvl w:val="1"/>
          <w:numId w:val="65"/>
        </w:numPr>
        <w:ind w:firstLineChars="0"/>
      </w:pPr>
      <w:r>
        <w:t xml:space="preserve">For example, CondT1 can be revised to use time of source DU for non-NTN UEs. </w:t>
      </w:r>
    </w:p>
    <w:p w14:paraId="24099F18" w14:textId="22AF6AC7" w:rsidR="001358A2" w:rsidRPr="00070D31" w:rsidRDefault="001358A2" w:rsidP="001358A2">
      <w:pPr>
        <w:pStyle w:val="ListParagraph"/>
        <w:numPr>
          <w:ilvl w:val="1"/>
          <w:numId w:val="65"/>
        </w:numPr>
        <w:ind w:firstLineChars="0"/>
      </w:pPr>
      <w:r>
        <w:t xml:space="preserve">As another example, add procedure text that after configured with CondT1, non-NTN UEs need to obtain SIB9 to acquire UTC time.   </w:t>
      </w:r>
      <w:r w:rsidRPr="00070D31">
        <w:t xml:space="preserve">  </w:t>
      </w:r>
    </w:p>
    <w:p w14:paraId="773AE987" w14:textId="70DF6A46" w:rsidR="001358A2" w:rsidRDefault="001358A2" w:rsidP="001358A2">
      <w:pPr>
        <w:pStyle w:val="ListParagraph"/>
        <w:numPr>
          <w:ilvl w:val="0"/>
          <w:numId w:val="65"/>
        </w:numPr>
        <w:ind w:firstLineChars="0"/>
      </w:pPr>
      <w:r>
        <w:t>Specification change in TS 38.331 to use "OR" (rather than "AND") between CondT1 and CondAx to determine whether the target candidate cell as a triggered cell.</w:t>
      </w:r>
    </w:p>
    <w:p w14:paraId="2A1DD263" w14:textId="67C07B2B" w:rsidR="001358A2" w:rsidRDefault="00C912E2" w:rsidP="001358A2">
      <w:pPr>
        <w:pStyle w:val="ListParagraph"/>
        <w:numPr>
          <w:ilvl w:val="1"/>
          <w:numId w:val="65"/>
        </w:numPr>
        <w:ind w:firstLineChars="0"/>
      </w:pPr>
      <w:r>
        <w:t xml:space="preserve">Please note that different from NTN, </w:t>
      </w:r>
      <w:r w:rsidR="008C7DA1">
        <w:t>surrounding</w:t>
      </w:r>
      <w:r>
        <w:t xml:space="preserve"> UEs served by mobile IAB DU may move to cell boundary before DU migration is triggered (i.e. before CondT1 is fulfilled). In this case, these UE should execute HO immediately.   </w:t>
      </w:r>
    </w:p>
    <w:p w14:paraId="1C995FD2" w14:textId="77777777" w:rsidR="008D4646" w:rsidRDefault="00625749" w:rsidP="00A22A33">
      <w:pPr>
        <w:rPr>
          <w:b/>
          <w:bCs/>
          <w:color w:val="auto"/>
        </w:rPr>
      </w:pPr>
      <w:r w:rsidRPr="00B27A2A">
        <w:rPr>
          <w:b/>
          <w:bCs/>
          <w:color w:val="auto"/>
        </w:rPr>
        <w:t xml:space="preserve">Observation </w:t>
      </w:r>
      <w:r w:rsidR="00931925">
        <w:rPr>
          <w:b/>
          <w:bCs/>
          <w:color w:val="auto"/>
        </w:rPr>
        <w:t>5</w:t>
      </w:r>
      <w:r w:rsidRPr="00B27A2A">
        <w:rPr>
          <w:b/>
          <w:bCs/>
          <w:color w:val="auto"/>
        </w:rPr>
        <w:t xml:space="preserve">: </w:t>
      </w:r>
      <w:r w:rsidR="00A22A33">
        <w:rPr>
          <w:b/>
          <w:bCs/>
          <w:color w:val="auto"/>
        </w:rPr>
        <w:t xml:space="preserve">To allow </w:t>
      </w:r>
      <w:r w:rsidR="00A22A33" w:rsidRPr="00A22A33">
        <w:rPr>
          <w:b/>
          <w:bCs/>
          <w:color w:val="auto"/>
        </w:rPr>
        <w:t>non-NTN UE without equipping GNSS to apply CondT1, CondT1 can be revised to use time of source DU</w:t>
      </w:r>
      <w:r w:rsidR="00A22A33">
        <w:rPr>
          <w:b/>
          <w:bCs/>
          <w:color w:val="auto"/>
        </w:rPr>
        <w:t xml:space="preserve"> (i.e. not UTC time)</w:t>
      </w:r>
      <w:r w:rsidR="00A22A33" w:rsidRPr="00A22A33">
        <w:rPr>
          <w:b/>
          <w:bCs/>
          <w:color w:val="auto"/>
        </w:rPr>
        <w:t xml:space="preserve"> for non-NTN UEs. Or a new procedure text can be added that after configured with CondT1, non-NTN UEs need to obtain SIB9 to acquire UTC time. </w:t>
      </w:r>
    </w:p>
    <w:p w14:paraId="7237CF46" w14:textId="4BF1FEE1" w:rsidR="00A22A33" w:rsidRPr="00A22A33" w:rsidRDefault="008D4646" w:rsidP="00A22A33">
      <w:pPr>
        <w:rPr>
          <w:b/>
          <w:bCs/>
          <w:color w:val="auto"/>
        </w:rPr>
      </w:pPr>
      <w:r w:rsidRPr="00B27A2A">
        <w:rPr>
          <w:b/>
          <w:bCs/>
          <w:color w:val="auto"/>
        </w:rPr>
        <w:t xml:space="preserve">Observation </w:t>
      </w:r>
      <w:r>
        <w:rPr>
          <w:b/>
          <w:bCs/>
          <w:color w:val="auto"/>
        </w:rPr>
        <w:t>6</w:t>
      </w:r>
      <w:r w:rsidRPr="00B27A2A">
        <w:rPr>
          <w:b/>
          <w:bCs/>
          <w:color w:val="auto"/>
        </w:rPr>
        <w:t xml:space="preserve">: </w:t>
      </w:r>
      <w:r w:rsidR="00711DFA" w:rsidRPr="00711DFA">
        <w:rPr>
          <w:b/>
          <w:bCs/>
          <w:color w:val="auto"/>
        </w:rPr>
        <w:t xml:space="preserve">Different from NTN, </w:t>
      </w:r>
      <w:r w:rsidR="00BC3713">
        <w:rPr>
          <w:b/>
          <w:bCs/>
          <w:color w:val="auto"/>
        </w:rPr>
        <w:t>surrounding</w:t>
      </w:r>
      <w:r w:rsidR="00711DFA" w:rsidRPr="00711DFA">
        <w:rPr>
          <w:b/>
          <w:bCs/>
          <w:color w:val="auto"/>
        </w:rPr>
        <w:t xml:space="preserve"> UEs served by mobile IAB DU may move to cell boundary</w:t>
      </w:r>
      <w:r w:rsidR="00FE7CBA">
        <w:rPr>
          <w:b/>
          <w:bCs/>
          <w:color w:val="auto"/>
        </w:rPr>
        <w:t xml:space="preserve"> </w:t>
      </w:r>
      <w:r w:rsidR="00711DFA" w:rsidRPr="00711DFA">
        <w:rPr>
          <w:b/>
          <w:bCs/>
          <w:color w:val="auto"/>
        </w:rPr>
        <w:t>before DU migration is triggered (i.e. before CondT1 is fulfilled). In this case, these UE should execute HO immediately</w:t>
      </w:r>
      <w:r w:rsidRPr="00A22A33">
        <w:rPr>
          <w:b/>
          <w:bCs/>
          <w:color w:val="auto"/>
        </w:rPr>
        <w:t xml:space="preserve">.     </w:t>
      </w:r>
      <w:r w:rsidR="00A22A33" w:rsidRPr="00A22A33">
        <w:rPr>
          <w:b/>
          <w:bCs/>
          <w:color w:val="auto"/>
        </w:rPr>
        <w:t xml:space="preserve"> </w:t>
      </w:r>
    </w:p>
    <w:p w14:paraId="04303967" w14:textId="23AD2653" w:rsidR="00641BDF" w:rsidRDefault="00641BDF" w:rsidP="0033712C">
      <w:pPr>
        <w:rPr>
          <w:b/>
          <w:bCs/>
        </w:rPr>
      </w:pPr>
      <w:r>
        <w:rPr>
          <w:color w:val="auto"/>
        </w:rPr>
        <w:t>We are not sure whether it is worth pursuing these specification changes to support CondT1 in mobile IAB. Thus, we suggest RAN2 to discuss the necessity.</w:t>
      </w:r>
    </w:p>
    <w:p w14:paraId="2AEB9A07" w14:textId="69777CD6" w:rsidR="00641BDF" w:rsidRDefault="00FD4AF3" w:rsidP="0033712C">
      <w:pPr>
        <w:rPr>
          <w:b/>
          <w:bCs/>
        </w:rPr>
      </w:pPr>
      <w:r w:rsidRPr="00245359">
        <w:rPr>
          <w:b/>
          <w:bCs/>
        </w:rPr>
        <w:t xml:space="preserve">Proposal </w:t>
      </w:r>
      <w:r w:rsidR="00F367C2">
        <w:rPr>
          <w:b/>
          <w:bCs/>
        </w:rPr>
        <w:t>4</w:t>
      </w:r>
      <w:r w:rsidRPr="00245359">
        <w:rPr>
          <w:b/>
          <w:bCs/>
        </w:rPr>
        <w:t xml:space="preserve">: </w:t>
      </w:r>
      <w:r w:rsidR="00641BDF">
        <w:rPr>
          <w:b/>
          <w:bCs/>
        </w:rPr>
        <w:t>RAN2 confirm below specification changes are needed, if CondT1 is supported in mobile IAB.</w:t>
      </w:r>
    </w:p>
    <w:p w14:paraId="6E7148A2" w14:textId="0F8C08AC" w:rsidR="00641BDF" w:rsidRPr="00641BDF" w:rsidRDefault="00641BDF" w:rsidP="00641BDF">
      <w:pPr>
        <w:pStyle w:val="ListParagraph"/>
        <w:numPr>
          <w:ilvl w:val="0"/>
          <w:numId w:val="66"/>
        </w:numPr>
        <w:ind w:firstLineChars="0"/>
        <w:rPr>
          <w:b/>
          <w:bCs/>
        </w:rPr>
      </w:pPr>
      <w:r w:rsidRPr="00641BDF">
        <w:rPr>
          <w:b/>
          <w:bCs/>
        </w:rPr>
        <w:lastRenderedPageBreak/>
        <w:t>Specification change in TS 38.306 to allow non-NTN UE to apply CondT1.</w:t>
      </w:r>
    </w:p>
    <w:p w14:paraId="0AFC6DDC" w14:textId="77777777" w:rsidR="00641BDF" w:rsidRPr="00641BDF" w:rsidRDefault="00641BDF" w:rsidP="00641BDF">
      <w:pPr>
        <w:pStyle w:val="ListParagraph"/>
        <w:numPr>
          <w:ilvl w:val="0"/>
          <w:numId w:val="66"/>
        </w:numPr>
        <w:ind w:firstLineChars="0"/>
        <w:rPr>
          <w:b/>
          <w:bCs/>
        </w:rPr>
      </w:pPr>
      <w:r w:rsidRPr="00641BDF">
        <w:rPr>
          <w:b/>
          <w:bCs/>
        </w:rPr>
        <w:t>Specification change in TS 38.331 to allow non-NTN UE without equipping GNSS to apply CondT1.</w:t>
      </w:r>
    </w:p>
    <w:p w14:paraId="2DE9BD85" w14:textId="77777777" w:rsidR="00641BDF" w:rsidRPr="00641BDF" w:rsidRDefault="00641BDF" w:rsidP="00641BDF">
      <w:pPr>
        <w:pStyle w:val="ListParagraph"/>
        <w:numPr>
          <w:ilvl w:val="0"/>
          <w:numId w:val="66"/>
        </w:numPr>
        <w:ind w:firstLineChars="0"/>
        <w:rPr>
          <w:b/>
          <w:bCs/>
        </w:rPr>
      </w:pPr>
      <w:r w:rsidRPr="00641BDF">
        <w:rPr>
          <w:b/>
          <w:bCs/>
        </w:rPr>
        <w:t>Specification change in TS 38.331 to use "OR" (rather than "AND") between CondT1 and CondAx to determine whether the target candidate cell as a triggered cell.</w:t>
      </w:r>
    </w:p>
    <w:bookmarkEnd w:id="1"/>
    <w:bookmarkEnd w:id="2"/>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4CF058C6" w14:textId="77777777" w:rsidR="00C1478B" w:rsidRDefault="00C231DA" w:rsidP="00F503C2">
      <w:pPr>
        <w:tabs>
          <w:tab w:val="left" w:pos="6093"/>
        </w:tabs>
      </w:pPr>
      <w:r w:rsidRPr="00FA5ADC">
        <w:t xml:space="preserve">In this contribution, </w:t>
      </w:r>
      <w:r w:rsidR="0063798D">
        <w:t xml:space="preserve">we </w:t>
      </w:r>
      <w:r w:rsidR="0040612C">
        <w:t xml:space="preserve">discuss remaining issues of </w:t>
      </w:r>
      <w:r w:rsidR="00FF43EB">
        <w:t>RACH-less handover</w:t>
      </w:r>
      <w:r w:rsidR="00B52E76">
        <w:t xml:space="preserve"> </w:t>
      </w:r>
      <w:r w:rsidR="0040612C">
        <w:t xml:space="preserve">and CHO enhancement </w:t>
      </w:r>
      <w:r w:rsidR="00B52E76">
        <w:t>for</w:t>
      </w:r>
      <w:r w:rsidR="0063798D">
        <w:t xml:space="preserve"> </w:t>
      </w:r>
      <w:r w:rsidR="00B52E76">
        <w:t xml:space="preserve">Rel-18 </w:t>
      </w:r>
      <w:r w:rsidR="00565B23">
        <w:t>mobile IAB</w:t>
      </w:r>
      <w:r w:rsidR="00794D46" w:rsidRPr="0046206E">
        <w:t>.</w:t>
      </w:r>
      <w:r w:rsidR="0086367A">
        <w:t xml:space="preserve"> </w:t>
      </w:r>
    </w:p>
    <w:p w14:paraId="4FB1B586" w14:textId="21F5A093" w:rsidR="00C1478B" w:rsidRPr="00C1478B" w:rsidRDefault="00C1478B" w:rsidP="00F503C2">
      <w:pPr>
        <w:tabs>
          <w:tab w:val="left" w:pos="6093"/>
        </w:tabs>
        <w:rPr>
          <w:b/>
          <w:bCs/>
          <w:i/>
          <w:iCs/>
          <w:u w:val="single"/>
        </w:rPr>
      </w:pPr>
      <w:r w:rsidRPr="00C1478B">
        <w:rPr>
          <w:b/>
          <w:bCs/>
          <w:i/>
          <w:iCs/>
          <w:u w:val="single"/>
        </w:rPr>
        <w:t>RACH-less HO</w:t>
      </w:r>
    </w:p>
    <w:p w14:paraId="3D90E8AE" w14:textId="2255C6A0" w:rsidR="0061273A" w:rsidRDefault="0086367A" w:rsidP="00F503C2">
      <w:pPr>
        <w:tabs>
          <w:tab w:val="left" w:pos="6093"/>
        </w:tabs>
      </w:pPr>
      <w:r>
        <w:t>Our observations are:</w:t>
      </w:r>
    </w:p>
    <w:p w14:paraId="6FFE1C0C" w14:textId="77777777" w:rsidR="00BA6175" w:rsidRPr="006B164B" w:rsidRDefault="00BA6175" w:rsidP="00BA6175">
      <w:pPr>
        <w:rPr>
          <w:b/>
          <w:bCs/>
        </w:rPr>
      </w:pPr>
      <w:r w:rsidRPr="006B164B">
        <w:rPr>
          <w:b/>
          <w:bCs/>
        </w:rPr>
        <w:t xml:space="preserve">Observation 1: </w:t>
      </w:r>
      <w:r>
        <w:rPr>
          <w:b/>
          <w:bCs/>
        </w:rPr>
        <w:t>RACH-less HO in NTN is more suitable for mobile IAB because early-TA doesn't support i</w:t>
      </w:r>
      <w:r w:rsidRPr="006B164B">
        <w:rPr>
          <w:b/>
          <w:bCs/>
        </w:rPr>
        <w:t xml:space="preserve">nter-DU HO </w:t>
      </w:r>
      <w:r>
        <w:rPr>
          <w:b/>
          <w:bCs/>
        </w:rPr>
        <w:t xml:space="preserve">but it </w:t>
      </w:r>
      <w:r w:rsidRPr="006B164B">
        <w:rPr>
          <w:b/>
          <w:bCs/>
        </w:rPr>
        <w:t>is target HO scenario of mobile IAB because dual-DU modeling was agreed in RAN2#119b-e</w:t>
      </w:r>
      <w:r>
        <w:rPr>
          <w:b/>
          <w:bCs/>
        </w:rPr>
        <w:t>.</w:t>
      </w:r>
    </w:p>
    <w:p w14:paraId="6BD802FF" w14:textId="77777777" w:rsidR="00BA6175" w:rsidRDefault="00BA6175" w:rsidP="00BA6175">
      <w:pPr>
        <w:rPr>
          <w:b/>
          <w:bCs/>
          <w:color w:val="auto"/>
        </w:rPr>
      </w:pPr>
      <w:r>
        <w:rPr>
          <w:b/>
          <w:bCs/>
          <w:color w:val="auto"/>
        </w:rPr>
        <w:t>Observation</w:t>
      </w:r>
      <w:r w:rsidRPr="00BF7383">
        <w:rPr>
          <w:b/>
          <w:bCs/>
          <w:color w:val="auto"/>
        </w:rPr>
        <w:t xml:space="preserve"> </w:t>
      </w:r>
      <w:r>
        <w:rPr>
          <w:b/>
          <w:bCs/>
          <w:color w:val="auto"/>
        </w:rPr>
        <w:t>2</w:t>
      </w:r>
      <w:r w:rsidRPr="00BF7383">
        <w:rPr>
          <w:b/>
          <w:bCs/>
          <w:color w:val="auto"/>
        </w:rPr>
        <w:t xml:space="preserve">: </w:t>
      </w:r>
      <w:r>
        <w:rPr>
          <w:b/>
          <w:bCs/>
          <w:color w:val="auto"/>
        </w:rPr>
        <w:t xml:space="preserve">In RAN2#121b-e, NTN WI has agreed below two </w:t>
      </w:r>
      <w:r w:rsidRPr="00DE7A8A">
        <w:rPr>
          <w:b/>
          <w:bCs/>
          <w:color w:val="auto"/>
        </w:rPr>
        <w:t>basic beam handling mechanism</w:t>
      </w:r>
      <w:r>
        <w:rPr>
          <w:b/>
          <w:bCs/>
          <w:color w:val="auto"/>
        </w:rPr>
        <w:t xml:space="preserve">s </w:t>
      </w:r>
      <w:r w:rsidRPr="00DE7A8A">
        <w:rPr>
          <w:b/>
          <w:bCs/>
          <w:color w:val="auto"/>
        </w:rPr>
        <w:t xml:space="preserve">with LS to </w:t>
      </w:r>
      <w:r>
        <w:rPr>
          <w:b/>
          <w:bCs/>
          <w:color w:val="auto"/>
        </w:rPr>
        <w:t xml:space="preserve">check </w:t>
      </w:r>
      <w:r w:rsidRPr="00DE7A8A">
        <w:rPr>
          <w:b/>
          <w:bCs/>
          <w:color w:val="auto"/>
        </w:rPr>
        <w:t>RAN1</w:t>
      </w:r>
      <w:r>
        <w:rPr>
          <w:b/>
          <w:bCs/>
          <w:color w:val="auto"/>
        </w:rPr>
        <w:t>:</w:t>
      </w:r>
    </w:p>
    <w:p w14:paraId="58F7E333" w14:textId="77777777" w:rsidR="00BA6175" w:rsidRPr="00DE7A8A" w:rsidRDefault="00BA6175" w:rsidP="00BA6175">
      <w:pPr>
        <w:pStyle w:val="ListParagraph"/>
        <w:numPr>
          <w:ilvl w:val="0"/>
          <w:numId w:val="80"/>
        </w:numPr>
        <w:ind w:firstLineChars="0"/>
        <w:rPr>
          <w:b/>
          <w:bCs/>
        </w:rPr>
      </w:pPr>
      <w:r w:rsidRPr="00DE7A8A">
        <w:rPr>
          <w:b/>
          <w:bCs/>
        </w:rPr>
        <w:t>HO command provides Type-1 CG with associated SSB and RSRP threshold as pre-allocated grant. The UE behavior is same as beam selection in CG based SDT.</w:t>
      </w:r>
    </w:p>
    <w:p w14:paraId="38D41164" w14:textId="77777777" w:rsidR="00BA6175" w:rsidRDefault="00BA6175" w:rsidP="00BA6175">
      <w:pPr>
        <w:pStyle w:val="ListParagraph"/>
        <w:numPr>
          <w:ilvl w:val="0"/>
          <w:numId w:val="80"/>
        </w:numPr>
        <w:ind w:firstLineChars="0"/>
        <w:rPr>
          <w:b/>
          <w:bCs/>
        </w:rPr>
      </w:pPr>
      <w:r w:rsidRPr="00DE7A8A">
        <w:rPr>
          <w:b/>
          <w:bCs/>
        </w:rPr>
        <w:t>HO command provides beam indication (TCI)</w:t>
      </w:r>
      <w:r>
        <w:rPr>
          <w:b/>
          <w:bCs/>
        </w:rPr>
        <w:t xml:space="preserve"> to </w:t>
      </w:r>
      <w:r w:rsidRPr="00DE7A8A">
        <w:rPr>
          <w:b/>
          <w:bCs/>
        </w:rPr>
        <w:t xml:space="preserve">monitor PDCCH of initial UL transmission in target cell, if pre-allocated grant is not provided. The UE monitors PDCCH </w:t>
      </w:r>
      <w:r>
        <w:rPr>
          <w:b/>
          <w:bCs/>
        </w:rPr>
        <w:t>with</w:t>
      </w:r>
      <w:r w:rsidRPr="00DE7A8A">
        <w:rPr>
          <w:b/>
          <w:bCs/>
        </w:rPr>
        <w:t xml:space="preserve"> </w:t>
      </w:r>
      <w:r>
        <w:rPr>
          <w:b/>
          <w:bCs/>
        </w:rPr>
        <w:t xml:space="preserve">the </w:t>
      </w:r>
      <w:r w:rsidRPr="00DE7A8A">
        <w:rPr>
          <w:b/>
          <w:bCs/>
        </w:rPr>
        <w:t>beam indicated by TCI.</w:t>
      </w:r>
    </w:p>
    <w:p w14:paraId="7F0D4CC4" w14:textId="77777777" w:rsidR="00BA6175" w:rsidRPr="00BA6175" w:rsidRDefault="00BA6175" w:rsidP="00BA6175">
      <w:pPr>
        <w:rPr>
          <w:b/>
          <w:bCs/>
        </w:rPr>
      </w:pPr>
      <w:r w:rsidRPr="00BA6175">
        <w:rPr>
          <w:b/>
          <w:bCs/>
        </w:rPr>
        <w:t>Observation 3: In RACH-less HO of NTN, it was agreed that at least legacy LTE RACH-less HO solution is reused for handling of supervision timer and when HO is considered successfully complete.</w:t>
      </w:r>
    </w:p>
    <w:p w14:paraId="13253DB0" w14:textId="77777777" w:rsidR="00C1478B" w:rsidRDefault="00C1478B" w:rsidP="00C1478B">
      <w:pPr>
        <w:rPr>
          <w:b/>
          <w:bCs/>
          <w:color w:val="auto"/>
          <w:lang w:val="en-CN"/>
        </w:rPr>
      </w:pPr>
    </w:p>
    <w:p w14:paraId="50074D6D" w14:textId="5FAA43BD" w:rsidR="00C1478B" w:rsidRPr="00C1478B" w:rsidRDefault="00C1478B" w:rsidP="00C1478B">
      <w:r>
        <w:t>Based on observations, our proposals are:</w:t>
      </w:r>
    </w:p>
    <w:p w14:paraId="15E039D5" w14:textId="77777777" w:rsidR="007F79B1" w:rsidRDefault="007F79B1" w:rsidP="007F79B1">
      <w:pPr>
        <w:rPr>
          <w:b/>
          <w:bCs/>
          <w:color w:val="auto"/>
        </w:rPr>
      </w:pPr>
      <w:r w:rsidRPr="0033712C">
        <w:rPr>
          <w:b/>
          <w:bCs/>
          <w:color w:val="auto"/>
          <w:lang w:val="en-CN"/>
        </w:rPr>
        <w:t xml:space="preserve">Proposal </w:t>
      </w:r>
      <w:r>
        <w:rPr>
          <w:b/>
          <w:bCs/>
          <w:color w:val="auto"/>
        </w:rPr>
        <w:t>1</w:t>
      </w:r>
      <w:r w:rsidRPr="0033712C">
        <w:rPr>
          <w:b/>
          <w:bCs/>
          <w:color w:val="auto"/>
          <w:lang w:val="en-CN"/>
        </w:rPr>
        <w:t xml:space="preserve">: </w:t>
      </w:r>
      <w:r>
        <w:rPr>
          <w:b/>
          <w:bCs/>
          <w:color w:val="auto"/>
        </w:rPr>
        <w:t>RAN2 confirm the RACH-less HO procedure agreed in NTN WI can be reused in mobile IAB.</w:t>
      </w:r>
    </w:p>
    <w:p w14:paraId="4B2542CF" w14:textId="77777777" w:rsidR="007F79B1" w:rsidRDefault="007F79B1" w:rsidP="007F79B1">
      <w:pPr>
        <w:rPr>
          <w:b/>
          <w:bCs/>
          <w:color w:val="auto"/>
        </w:rPr>
      </w:pPr>
      <w:r w:rsidRPr="0033712C">
        <w:rPr>
          <w:b/>
          <w:bCs/>
          <w:color w:val="auto"/>
          <w:lang w:val="en-CN"/>
        </w:rPr>
        <w:t xml:space="preserve">Proposal </w:t>
      </w:r>
      <w:r>
        <w:rPr>
          <w:b/>
          <w:bCs/>
          <w:color w:val="auto"/>
        </w:rPr>
        <w:t>2</w:t>
      </w:r>
      <w:r w:rsidRPr="0033712C">
        <w:rPr>
          <w:b/>
          <w:bCs/>
          <w:color w:val="auto"/>
          <w:lang w:val="en-CN"/>
        </w:rPr>
        <w:t xml:space="preserve">: </w:t>
      </w:r>
      <w:r>
        <w:rPr>
          <w:b/>
          <w:bCs/>
          <w:color w:val="auto"/>
        </w:rPr>
        <w:t>RAN2 confirm below two beam handling mechanisms agreed in NTN WI are reused in mobile IAB:</w:t>
      </w:r>
    </w:p>
    <w:p w14:paraId="6F80DAFC" w14:textId="77777777" w:rsidR="007F79B1" w:rsidRPr="00DE7A8A" w:rsidRDefault="007F79B1" w:rsidP="007F79B1">
      <w:pPr>
        <w:pStyle w:val="ListParagraph"/>
        <w:numPr>
          <w:ilvl w:val="0"/>
          <w:numId w:val="81"/>
        </w:numPr>
        <w:ind w:firstLineChars="0"/>
        <w:rPr>
          <w:b/>
          <w:bCs/>
        </w:rPr>
      </w:pPr>
      <w:r w:rsidRPr="00DE7A8A">
        <w:rPr>
          <w:b/>
          <w:bCs/>
        </w:rPr>
        <w:t>HO command provides Type-1 CG with associated SSB and RSRP threshold as pre-allocated grant. The UE behavior is same as beam selection in CG based SDT.</w:t>
      </w:r>
    </w:p>
    <w:p w14:paraId="3D5DE2F1" w14:textId="77777777" w:rsidR="007F79B1" w:rsidRDefault="007F79B1" w:rsidP="007F79B1">
      <w:pPr>
        <w:pStyle w:val="ListParagraph"/>
        <w:numPr>
          <w:ilvl w:val="0"/>
          <w:numId w:val="81"/>
        </w:numPr>
        <w:ind w:firstLineChars="0"/>
        <w:rPr>
          <w:b/>
          <w:bCs/>
        </w:rPr>
      </w:pPr>
      <w:r w:rsidRPr="00DE7A8A">
        <w:rPr>
          <w:b/>
          <w:bCs/>
        </w:rPr>
        <w:t>HO command provides beam indication (TCI)</w:t>
      </w:r>
      <w:r>
        <w:rPr>
          <w:b/>
          <w:bCs/>
        </w:rPr>
        <w:t xml:space="preserve"> to </w:t>
      </w:r>
      <w:r w:rsidRPr="00DE7A8A">
        <w:rPr>
          <w:b/>
          <w:bCs/>
        </w:rPr>
        <w:t xml:space="preserve">monitor PDCCH of initial UL transmission in target cell, if pre-allocated grant is not provided. The UE monitors PDCCH </w:t>
      </w:r>
      <w:r>
        <w:rPr>
          <w:b/>
          <w:bCs/>
        </w:rPr>
        <w:t>with</w:t>
      </w:r>
      <w:r w:rsidRPr="00DE7A8A">
        <w:rPr>
          <w:b/>
          <w:bCs/>
        </w:rPr>
        <w:t xml:space="preserve"> </w:t>
      </w:r>
      <w:r>
        <w:rPr>
          <w:b/>
          <w:bCs/>
        </w:rPr>
        <w:t xml:space="preserve">the </w:t>
      </w:r>
      <w:r w:rsidRPr="00DE7A8A">
        <w:rPr>
          <w:b/>
          <w:bCs/>
        </w:rPr>
        <w:t>beam indicated by TCI.</w:t>
      </w:r>
    </w:p>
    <w:p w14:paraId="7464581D" w14:textId="77777777" w:rsidR="007F79B1" w:rsidRPr="007F79B1" w:rsidRDefault="007F79B1" w:rsidP="007F79B1">
      <w:pPr>
        <w:rPr>
          <w:b/>
          <w:bCs/>
        </w:rPr>
      </w:pPr>
      <w:r w:rsidRPr="007F79B1">
        <w:rPr>
          <w:b/>
          <w:bCs/>
        </w:rPr>
        <w:t>Proposal 3: On handling of supervision timer and when HO is considered successfully complete, reuse the same solution of RACH-less HO of NTN (i.e. UE Contention Resolution Identity MAC CE is used but UE ignores the content of this field.)</w:t>
      </w:r>
    </w:p>
    <w:p w14:paraId="7AC44C8A" w14:textId="77777777" w:rsidR="00DA0F27" w:rsidRDefault="00DA0F27" w:rsidP="00DA0F27">
      <w:pPr>
        <w:rPr>
          <w:lang w:val="en-GB"/>
        </w:rPr>
      </w:pPr>
    </w:p>
    <w:p w14:paraId="6D43EDD3" w14:textId="53592EDF" w:rsidR="00C1478B" w:rsidRPr="00C1478B" w:rsidRDefault="00C1478B" w:rsidP="00C1478B">
      <w:pPr>
        <w:tabs>
          <w:tab w:val="left" w:pos="6093"/>
        </w:tabs>
        <w:rPr>
          <w:b/>
          <w:bCs/>
          <w:i/>
          <w:iCs/>
          <w:u w:val="single"/>
        </w:rPr>
      </w:pPr>
      <w:r>
        <w:rPr>
          <w:b/>
          <w:bCs/>
          <w:i/>
          <w:iCs/>
          <w:u w:val="single"/>
        </w:rPr>
        <w:t>C</w:t>
      </w:r>
      <w:r w:rsidRPr="00C1478B">
        <w:rPr>
          <w:b/>
          <w:bCs/>
          <w:i/>
          <w:iCs/>
          <w:u w:val="single"/>
        </w:rPr>
        <w:t>HO</w:t>
      </w:r>
      <w:r>
        <w:rPr>
          <w:b/>
          <w:bCs/>
          <w:i/>
          <w:iCs/>
          <w:u w:val="single"/>
        </w:rPr>
        <w:t xml:space="preserve"> enhancement</w:t>
      </w:r>
    </w:p>
    <w:p w14:paraId="643B1595" w14:textId="77777777" w:rsidR="00C1478B" w:rsidRDefault="00C1478B" w:rsidP="00C1478B">
      <w:pPr>
        <w:tabs>
          <w:tab w:val="left" w:pos="6093"/>
        </w:tabs>
      </w:pPr>
      <w:r>
        <w:t>Our observations are:</w:t>
      </w:r>
    </w:p>
    <w:p w14:paraId="2C9CB89A" w14:textId="77777777" w:rsidR="00C1478B" w:rsidRPr="007E055D" w:rsidRDefault="00C1478B" w:rsidP="00C1478B">
      <w:pPr>
        <w:spacing w:after="120"/>
        <w:rPr>
          <w:b/>
          <w:bCs/>
          <w:color w:val="auto"/>
        </w:rPr>
      </w:pPr>
      <w:r w:rsidRPr="007E055D">
        <w:rPr>
          <w:b/>
          <w:bCs/>
        </w:rPr>
        <w:t xml:space="preserve">Observation 4: </w:t>
      </w:r>
      <w:r w:rsidRPr="007E055D">
        <w:rPr>
          <w:b/>
          <w:bCs/>
          <w:color w:val="auto"/>
        </w:rPr>
        <w:t>The key points of existing CondT1 can be summarized below:</w:t>
      </w:r>
    </w:p>
    <w:p w14:paraId="1362AF75" w14:textId="77777777" w:rsidR="00C1478B" w:rsidRPr="007E055D" w:rsidRDefault="00C1478B" w:rsidP="00C1478B">
      <w:pPr>
        <w:pStyle w:val="ListParagraph"/>
        <w:numPr>
          <w:ilvl w:val="0"/>
          <w:numId w:val="69"/>
        </w:numPr>
        <w:spacing w:after="120"/>
        <w:ind w:firstLineChars="0"/>
        <w:rPr>
          <w:b/>
          <w:bCs/>
        </w:rPr>
      </w:pPr>
      <w:r w:rsidRPr="007E055D">
        <w:rPr>
          <w:b/>
          <w:bCs/>
        </w:rPr>
        <w:t>CondT1 is only applicable to NTN</w:t>
      </w:r>
    </w:p>
    <w:p w14:paraId="4BF1E83B" w14:textId="77777777" w:rsidR="00C1478B" w:rsidRPr="007E055D" w:rsidRDefault="00C1478B" w:rsidP="00C1478B">
      <w:pPr>
        <w:pStyle w:val="ListParagraph"/>
        <w:numPr>
          <w:ilvl w:val="0"/>
          <w:numId w:val="69"/>
        </w:numPr>
        <w:spacing w:after="120"/>
        <w:ind w:firstLineChars="0"/>
        <w:rPr>
          <w:b/>
          <w:bCs/>
        </w:rPr>
      </w:pPr>
      <w:r w:rsidRPr="007E055D">
        <w:rPr>
          <w:b/>
          <w:bCs/>
        </w:rPr>
        <w:t>CondT1 is based on absolute UTC time (i.e. Threshold of T1 is UTC time)</w:t>
      </w:r>
    </w:p>
    <w:p w14:paraId="1A66F946" w14:textId="77777777" w:rsidR="00C1478B" w:rsidRPr="007E055D" w:rsidRDefault="00C1478B" w:rsidP="00C1478B">
      <w:pPr>
        <w:pStyle w:val="ListParagraph"/>
        <w:numPr>
          <w:ilvl w:val="0"/>
          <w:numId w:val="69"/>
        </w:numPr>
        <w:ind w:firstLineChars="0"/>
        <w:rPr>
          <w:b/>
          <w:bCs/>
        </w:rPr>
      </w:pPr>
      <w:r w:rsidRPr="007E055D">
        <w:rPr>
          <w:b/>
          <w:bCs/>
        </w:rPr>
        <w:t xml:space="preserve">CondT1 is always configured together with one of the measurement-based trigger conditions (i.e. CHO </w:t>
      </w:r>
      <w:r>
        <w:rPr>
          <w:b/>
          <w:bCs/>
        </w:rPr>
        <w:t xml:space="preserve">Ax </w:t>
      </w:r>
      <w:r w:rsidRPr="007E055D">
        <w:rPr>
          <w:b/>
          <w:bCs/>
        </w:rPr>
        <w:t>events A3/A4/A5). Only when both CondT1 and CondAx are fulfilled at the same time, UE will consider the target candidate cell as a triggered cell (i.e. AND between CondT1 and Cond Ax).</w:t>
      </w:r>
    </w:p>
    <w:p w14:paraId="5D7DB3B9" w14:textId="77777777" w:rsidR="00C1478B" w:rsidRDefault="00C1478B" w:rsidP="00C1478B">
      <w:pPr>
        <w:rPr>
          <w:b/>
          <w:bCs/>
          <w:color w:val="auto"/>
        </w:rPr>
      </w:pPr>
      <w:r w:rsidRPr="00B27A2A">
        <w:rPr>
          <w:b/>
          <w:bCs/>
          <w:color w:val="auto"/>
        </w:rPr>
        <w:lastRenderedPageBreak/>
        <w:t xml:space="preserve">Observation </w:t>
      </w:r>
      <w:r>
        <w:rPr>
          <w:b/>
          <w:bCs/>
          <w:color w:val="auto"/>
        </w:rPr>
        <w:t>5</w:t>
      </w:r>
      <w:r w:rsidRPr="00B27A2A">
        <w:rPr>
          <w:b/>
          <w:bCs/>
          <w:color w:val="auto"/>
        </w:rPr>
        <w:t xml:space="preserve">: </w:t>
      </w:r>
      <w:r>
        <w:rPr>
          <w:b/>
          <w:bCs/>
          <w:color w:val="auto"/>
        </w:rPr>
        <w:t xml:space="preserve">To allow </w:t>
      </w:r>
      <w:r w:rsidRPr="00A22A33">
        <w:rPr>
          <w:b/>
          <w:bCs/>
          <w:color w:val="auto"/>
        </w:rPr>
        <w:t>non-NTN UE without equipping GNSS to apply CondT1, CondT1 can be revised to use time of source DU</w:t>
      </w:r>
      <w:r>
        <w:rPr>
          <w:b/>
          <w:bCs/>
          <w:color w:val="auto"/>
        </w:rPr>
        <w:t xml:space="preserve"> (i.e. not UTC time)</w:t>
      </w:r>
      <w:r w:rsidRPr="00A22A33">
        <w:rPr>
          <w:b/>
          <w:bCs/>
          <w:color w:val="auto"/>
        </w:rPr>
        <w:t xml:space="preserve"> for non-NTN UEs. Or a new procedure text can be added that after configured with CondT1, non-NTN UEs need to obtain SIB9 to acquire UTC time. </w:t>
      </w:r>
    </w:p>
    <w:p w14:paraId="50138EDE" w14:textId="77777777" w:rsidR="00694211" w:rsidRPr="00A22A33" w:rsidRDefault="00694211" w:rsidP="00694211">
      <w:pPr>
        <w:rPr>
          <w:b/>
          <w:bCs/>
          <w:color w:val="auto"/>
        </w:rPr>
      </w:pPr>
      <w:r w:rsidRPr="00B27A2A">
        <w:rPr>
          <w:b/>
          <w:bCs/>
          <w:color w:val="auto"/>
        </w:rPr>
        <w:t xml:space="preserve">Observation </w:t>
      </w:r>
      <w:r>
        <w:rPr>
          <w:b/>
          <w:bCs/>
          <w:color w:val="auto"/>
        </w:rPr>
        <w:t>6</w:t>
      </w:r>
      <w:r w:rsidRPr="00B27A2A">
        <w:rPr>
          <w:b/>
          <w:bCs/>
          <w:color w:val="auto"/>
        </w:rPr>
        <w:t xml:space="preserve">: </w:t>
      </w:r>
      <w:r w:rsidRPr="00711DFA">
        <w:rPr>
          <w:b/>
          <w:bCs/>
          <w:color w:val="auto"/>
        </w:rPr>
        <w:t xml:space="preserve">Different from NTN, </w:t>
      </w:r>
      <w:r>
        <w:rPr>
          <w:b/>
          <w:bCs/>
          <w:color w:val="auto"/>
        </w:rPr>
        <w:t>surrounding</w:t>
      </w:r>
      <w:r w:rsidRPr="00711DFA">
        <w:rPr>
          <w:b/>
          <w:bCs/>
          <w:color w:val="auto"/>
        </w:rPr>
        <w:t xml:space="preserve"> UEs served by mobile IAB DU may move to cell boundary</w:t>
      </w:r>
      <w:r>
        <w:rPr>
          <w:b/>
          <w:bCs/>
          <w:color w:val="auto"/>
        </w:rPr>
        <w:t xml:space="preserve"> </w:t>
      </w:r>
      <w:r w:rsidRPr="00711DFA">
        <w:rPr>
          <w:b/>
          <w:bCs/>
          <w:color w:val="auto"/>
        </w:rPr>
        <w:t>before DU migration is triggered (i.e. before CondT1 is fulfilled). In this case, these UE should execute HO immediately</w:t>
      </w:r>
      <w:r w:rsidRPr="00A22A33">
        <w:rPr>
          <w:b/>
          <w:bCs/>
          <w:color w:val="auto"/>
        </w:rPr>
        <w:t xml:space="preserve">.      </w:t>
      </w:r>
    </w:p>
    <w:p w14:paraId="24F5301F" w14:textId="77777777" w:rsidR="00C1478B" w:rsidRPr="00DA0F27" w:rsidRDefault="00C1478B" w:rsidP="00DA0F27">
      <w:pPr>
        <w:rPr>
          <w:lang w:val="en-GB"/>
        </w:rPr>
      </w:pPr>
    </w:p>
    <w:p w14:paraId="004593E5" w14:textId="6413E762" w:rsidR="00437A02" w:rsidRDefault="00D749D3" w:rsidP="00437A02">
      <w:r>
        <w:t>Based on observations, our proposals are:</w:t>
      </w:r>
    </w:p>
    <w:p w14:paraId="61E0600F" w14:textId="77777777" w:rsidR="00071A2A" w:rsidRDefault="00071A2A" w:rsidP="00071A2A">
      <w:pPr>
        <w:rPr>
          <w:b/>
          <w:bCs/>
        </w:rPr>
      </w:pPr>
      <w:r w:rsidRPr="00245359">
        <w:rPr>
          <w:b/>
          <w:bCs/>
        </w:rPr>
        <w:t xml:space="preserve">Proposal </w:t>
      </w:r>
      <w:r>
        <w:rPr>
          <w:b/>
          <w:bCs/>
        </w:rPr>
        <w:t>4</w:t>
      </w:r>
      <w:r w:rsidRPr="00245359">
        <w:rPr>
          <w:b/>
          <w:bCs/>
        </w:rPr>
        <w:t xml:space="preserve">: </w:t>
      </w:r>
      <w:r>
        <w:rPr>
          <w:b/>
          <w:bCs/>
        </w:rPr>
        <w:t>RAN2 confirm below specification changes are needed, if CondT1 is supported in mobile IAB.</w:t>
      </w:r>
    </w:p>
    <w:p w14:paraId="77D203B3" w14:textId="77777777" w:rsidR="00071A2A" w:rsidRPr="00641BDF" w:rsidRDefault="00071A2A" w:rsidP="00071A2A">
      <w:pPr>
        <w:pStyle w:val="ListParagraph"/>
        <w:numPr>
          <w:ilvl w:val="0"/>
          <w:numId w:val="82"/>
        </w:numPr>
        <w:ind w:firstLineChars="0"/>
        <w:rPr>
          <w:b/>
          <w:bCs/>
        </w:rPr>
      </w:pPr>
      <w:r w:rsidRPr="00641BDF">
        <w:rPr>
          <w:b/>
          <w:bCs/>
        </w:rPr>
        <w:t>Specification change in TS 38.306 to allow non-NTN UE to apply CondT1.</w:t>
      </w:r>
    </w:p>
    <w:p w14:paraId="4EE4EB94" w14:textId="77777777" w:rsidR="00071A2A" w:rsidRPr="00641BDF" w:rsidRDefault="00071A2A" w:rsidP="00071A2A">
      <w:pPr>
        <w:pStyle w:val="ListParagraph"/>
        <w:numPr>
          <w:ilvl w:val="0"/>
          <w:numId w:val="82"/>
        </w:numPr>
        <w:ind w:firstLineChars="0"/>
        <w:rPr>
          <w:b/>
          <w:bCs/>
        </w:rPr>
      </w:pPr>
      <w:r w:rsidRPr="00641BDF">
        <w:rPr>
          <w:b/>
          <w:bCs/>
        </w:rPr>
        <w:t>Specification change in TS 38.331 to allow non-NTN UE without equipping GNSS to apply CondT1.</w:t>
      </w:r>
    </w:p>
    <w:p w14:paraId="3F2E68DA" w14:textId="77777777" w:rsidR="00071A2A" w:rsidRPr="00641BDF" w:rsidRDefault="00071A2A" w:rsidP="00071A2A">
      <w:pPr>
        <w:pStyle w:val="ListParagraph"/>
        <w:numPr>
          <w:ilvl w:val="0"/>
          <w:numId w:val="82"/>
        </w:numPr>
        <w:ind w:firstLineChars="0"/>
        <w:rPr>
          <w:b/>
          <w:bCs/>
        </w:rPr>
      </w:pPr>
      <w:r w:rsidRPr="00641BDF">
        <w:rPr>
          <w:b/>
          <w:bCs/>
        </w:rPr>
        <w:t>Specification change in TS 38.331 to use "OR" (rather than "AND") between CondT1 and CondAx to determine whether the target candidate cell as a triggered cell.</w:t>
      </w:r>
    </w:p>
    <w:p w14:paraId="2AB40052" w14:textId="77777777" w:rsidR="00C1478B" w:rsidRPr="00C1478B" w:rsidRDefault="00C1478B" w:rsidP="00C1478B">
      <w:pPr>
        <w:rPr>
          <w:b/>
          <w:bCs/>
        </w:rPr>
      </w:pP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1C86918B" w14:textId="18DB3856" w:rsidR="008C53BF" w:rsidRDefault="008C53BF" w:rsidP="008C53BF">
      <w:r>
        <w:t>[</w:t>
      </w:r>
      <w:r w:rsidR="00AA7126">
        <w:t>2</w:t>
      </w:r>
      <w:r>
        <w:t>] RAN</w:t>
      </w:r>
      <w:r w:rsidR="009F1AF4">
        <w:t>2</w:t>
      </w:r>
      <w:r>
        <w:t>#1</w:t>
      </w:r>
      <w:r w:rsidR="009F1AF4">
        <w:t>21</w:t>
      </w:r>
      <w:r>
        <w:t xml:space="preserve">, Chair Notes. </w:t>
      </w:r>
    </w:p>
    <w:p w14:paraId="1600DDB1" w14:textId="5C25F9A9" w:rsidR="00AA7126" w:rsidRDefault="00AA7126" w:rsidP="008C53BF">
      <w:r>
        <w:t xml:space="preserve">[3] RAN2#122, Chair Notes. </w:t>
      </w:r>
    </w:p>
    <w:p w14:paraId="1BA76FBF" w14:textId="0BC93E71" w:rsidR="003E4E9B" w:rsidRDefault="003E4E9B" w:rsidP="008C53BF">
      <w:r w:rsidRPr="00835262">
        <w:t>[</w:t>
      </w:r>
      <w:r>
        <w:t>4</w:t>
      </w:r>
      <w:r w:rsidRPr="00835262">
        <w:t xml:space="preserve">] </w:t>
      </w:r>
      <w:r>
        <w:t>TS 38.300-v17.</w:t>
      </w:r>
      <w:r w:rsidR="00056472">
        <w:t>4</w:t>
      </w:r>
      <w:r>
        <w:t>.0, Overall description, stage 2, 202</w:t>
      </w:r>
      <w:r w:rsidR="00056472">
        <w:t>3</w:t>
      </w:r>
      <w:r>
        <w:t>-</w:t>
      </w:r>
      <w:r w:rsidR="00056472">
        <w:t>3</w:t>
      </w:r>
      <w:r>
        <w:t>.</w:t>
      </w:r>
    </w:p>
    <w:p w14:paraId="03BA439E" w14:textId="5CCE1650" w:rsidR="006C3DF4" w:rsidRDefault="006C3DF4" w:rsidP="006C3DF4">
      <w:r w:rsidRPr="00835262">
        <w:t>[</w:t>
      </w:r>
      <w:r>
        <w:t>5</w:t>
      </w:r>
      <w:r w:rsidRPr="00835262">
        <w:t xml:space="preserve">] </w:t>
      </w:r>
      <w:r>
        <w:t>TS 3</w:t>
      </w:r>
      <w:r w:rsidR="00056472">
        <w:t>8</w:t>
      </w:r>
      <w:r>
        <w:t>.331-v17.</w:t>
      </w:r>
      <w:r w:rsidR="00056472">
        <w:t>4</w:t>
      </w:r>
      <w:r>
        <w:t xml:space="preserve">.0, </w:t>
      </w:r>
      <w:r w:rsidR="004305EE" w:rsidRPr="004305EE">
        <w:t>Radio Resource Control (RRC)</w:t>
      </w:r>
      <w:r w:rsidR="004305EE">
        <w:t xml:space="preserve"> </w:t>
      </w:r>
      <w:r w:rsidRPr="00835262">
        <w:t>protocol specification</w:t>
      </w:r>
      <w:r>
        <w:t>, 202</w:t>
      </w:r>
      <w:r w:rsidR="00056472">
        <w:t>3</w:t>
      </w:r>
      <w:r>
        <w:t>-</w:t>
      </w:r>
      <w:r w:rsidR="00056472">
        <w:t>3</w:t>
      </w:r>
      <w:r>
        <w:t>.</w:t>
      </w:r>
    </w:p>
    <w:p w14:paraId="3FB6F02F" w14:textId="17207482" w:rsidR="00056472" w:rsidRDefault="00056472" w:rsidP="00056472">
      <w:r w:rsidRPr="00835262">
        <w:t>[</w:t>
      </w:r>
      <w:r>
        <w:t>6</w:t>
      </w:r>
      <w:r w:rsidRPr="00835262">
        <w:t xml:space="preserve">] </w:t>
      </w:r>
      <w:r>
        <w:t xml:space="preserve">TS 38.306-v17.4.0, </w:t>
      </w:r>
      <w:r w:rsidRPr="00056472">
        <w:t>User Equipment (UE) radio access capabilities</w:t>
      </w:r>
      <w:r>
        <w:t>, 2023-3.</w:t>
      </w:r>
    </w:p>
    <w:p w14:paraId="660DEFD7" w14:textId="77777777" w:rsidR="00056472" w:rsidRDefault="00056472" w:rsidP="006C3DF4"/>
    <w:p w14:paraId="51A00A5C" w14:textId="77777777" w:rsidR="006C3DF4" w:rsidRDefault="006C3DF4" w:rsidP="008C53BF"/>
    <w:p w14:paraId="43DA4FE9" w14:textId="77777777" w:rsidR="008C53BF" w:rsidRDefault="008C53BF" w:rsidP="005E1C1F"/>
    <w:p w14:paraId="769276D8" w14:textId="77777777" w:rsidR="005E1C1F" w:rsidRDefault="005E1C1F" w:rsidP="008827C2"/>
    <w:p w14:paraId="6BE641FD" w14:textId="77777777" w:rsidR="00936E50" w:rsidRDefault="00936E50" w:rsidP="008827C2"/>
    <w:sectPr w:rsidR="00936E50">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D2CBC" w14:textId="77777777" w:rsidR="001E4BBA" w:rsidRDefault="001E4BBA">
      <w:r>
        <w:separator/>
      </w:r>
    </w:p>
    <w:p w14:paraId="19F9F507" w14:textId="77777777" w:rsidR="001E4BBA" w:rsidRDefault="001E4BBA"/>
  </w:endnote>
  <w:endnote w:type="continuationSeparator" w:id="0">
    <w:p w14:paraId="33AEAE7D" w14:textId="77777777" w:rsidR="001E4BBA" w:rsidRDefault="001E4BBA">
      <w:r>
        <w:continuationSeparator/>
      </w:r>
    </w:p>
    <w:p w14:paraId="4F68CACD" w14:textId="77777777" w:rsidR="001E4BBA" w:rsidRDefault="001E4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C78C" w14:textId="77777777" w:rsidR="001E4BBA" w:rsidRDefault="001E4BBA">
      <w:r>
        <w:separator/>
      </w:r>
    </w:p>
    <w:p w14:paraId="3DEF314F" w14:textId="77777777" w:rsidR="001E4BBA" w:rsidRDefault="001E4BBA"/>
  </w:footnote>
  <w:footnote w:type="continuationSeparator" w:id="0">
    <w:p w14:paraId="612BCBB9" w14:textId="77777777" w:rsidR="001E4BBA" w:rsidRDefault="001E4BBA">
      <w:r>
        <w:continuationSeparator/>
      </w:r>
    </w:p>
    <w:p w14:paraId="683351BF" w14:textId="77777777" w:rsidR="001E4BBA" w:rsidRDefault="001E4B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220CA8"/>
    <w:multiLevelType w:val="hybridMultilevel"/>
    <w:tmpl w:val="9EF0C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 w15:restartNumberingAfterBreak="0">
    <w:nsid w:val="03603C01"/>
    <w:multiLevelType w:val="hybridMultilevel"/>
    <w:tmpl w:val="3A8445C8"/>
    <w:lvl w:ilvl="0" w:tplc="2FC4DD44">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00C41"/>
    <w:multiLevelType w:val="multilevel"/>
    <w:tmpl w:val="8826A892"/>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AC13DD"/>
    <w:multiLevelType w:val="hybridMultilevel"/>
    <w:tmpl w:val="EC0876C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F680B"/>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7425F5"/>
    <w:multiLevelType w:val="hybridMultilevel"/>
    <w:tmpl w:val="08E4791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8" w15:restartNumberingAfterBreak="0">
    <w:nsid w:val="0B9F06BA"/>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20596F"/>
    <w:multiLevelType w:val="hybridMultilevel"/>
    <w:tmpl w:val="999C7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EB863D4"/>
    <w:multiLevelType w:val="hybridMultilevel"/>
    <w:tmpl w:val="1E5C0E4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F5B4961"/>
    <w:multiLevelType w:val="hybridMultilevel"/>
    <w:tmpl w:val="923A2C28"/>
    <w:lvl w:ilvl="0" w:tplc="C570ED2A">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C23F79"/>
    <w:multiLevelType w:val="hybridMultilevel"/>
    <w:tmpl w:val="74520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6C52CCB"/>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D66142B"/>
    <w:multiLevelType w:val="hybridMultilevel"/>
    <w:tmpl w:val="CFAA5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703C7"/>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33F5F96"/>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CA6D05"/>
    <w:multiLevelType w:val="hybridMultilevel"/>
    <w:tmpl w:val="9EF0C666"/>
    <w:lvl w:ilvl="0" w:tplc="8F2ACD1A">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3"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A3A2B28"/>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A3C799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AA773FA"/>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E651C4E"/>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0"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C826E1"/>
    <w:multiLevelType w:val="hybridMultilevel"/>
    <w:tmpl w:val="8826A892"/>
    <w:lvl w:ilvl="0" w:tplc="FFFFFFF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171EF4"/>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5"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0" w15:restartNumberingAfterBreak="0">
    <w:nsid w:val="41676014"/>
    <w:multiLevelType w:val="hybridMultilevel"/>
    <w:tmpl w:val="207225D2"/>
    <w:lvl w:ilvl="0" w:tplc="04090011">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41" w15:restartNumberingAfterBreak="0">
    <w:nsid w:val="42034063"/>
    <w:multiLevelType w:val="hybridMultilevel"/>
    <w:tmpl w:val="8C843DD4"/>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42"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444C647B"/>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16318E"/>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46"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47"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8D7C4D"/>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063916"/>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4312314"/>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C24D89"/>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4654208"/>
    <w:multiLevelType w:val="hybridMultilevel"/>
    <w:tmpl w:val="151C30A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0" w15:restartNumberingAfterBreak="0">
    <w:nsid w:val="649575B2"/>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7480BD5"/>
    <w:multiLevelType w:val="multilevel"/>
    <w:tmpl w:val="923A2C28"/>
    <w:styleLink w:val="CurrentList3"/>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AD077B4"/>
    <w:multiLevelType w:val="hybridMultilevel"/>
    <w:tmpl w:val="20CEC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3137C8C"/>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48A2DC4"/>
    <w:multiLevelType w:val="hybridMultilevel"/>
    <w:tmpl w:val="20CECD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73" w15:restartNumberingAfterBreak="0">
    <w:nsid w:val="788562D9"/>
    <w:multiLevelType w:val="multilevel"/>
    <w:tmpl w:val="5FA8413A"/>
    <w:styleLink w:val="CurrentList1"/>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C2384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E2F2F8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79" w15:restartNumberingAfterBreak="0">
    <w:nsid w:val="7E3F13F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80" w15:restartNumberingAfterBreak="0">
    <w:nsid w:val="7F5D7408"/>
    <w:multiLevelType w:val="hybridMultilevel"/>
    <w:tmpl w:val="53DEFB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033330">
    <w:abstractNumId w:val="76"/>
  </w:num>
  <w:num w:numId="2" w16cid:durableId="1984118196">
    <w:abstractNumId w:val="50"/>
  </w:num>
  <w:num w:numId="3" w16cid:durableId="1918324704">
    <w:abstractNumId w:val="67"/>
  </w:num>
  <w:num w:numId="4" w16cid:durableId="257911726">
    <w:abstractNumId w:val="0"/>
  </w:num>
  <w:num w:numId="5" w16cid:durableId="1352754970">
    <w:abstractNumId w:val="36"/>
  </w:num>
  <w:num w:numId="6" w16cid:durableId="368919993">
    <w:abstractNumId w:val="37"/>
  </w:num>
  <w:num w:numId="7" w16cid:durableId="311838237">
    <w:abstractNumId w:val="46"/>
  </w:num>
  <w:num w:numId="8" w16cid:durableId="1992979795">
    <w:abstractNumId w:val="62"/>
  </w:num>
  <w:num w:numId="9" w16cid:durableId="1051417178">
    <w:abstractNumId w:val="61"/>
  </w:num>
  <w:num w:numId="10" w16cid:durableId="1782144234">
    <w:abstractNumId w:val="47"/>
  </w:num>
  <w:num w:numId="11" w16cid:durableId="996425008">
    <w:abstractNumId w:val="31"/>
  </w:num>
  <w:num w:numId="12" w16cid:durableId="399140544">
    <w:abstractNumId w:val="55"/>
  </w:num>
  <w:num w:numId="13" w16cid:durableId="241766118">
    <w:abstractNumId w:val="72"/>
  </w:num>
  <w:num w:numId="14" w16cid:durableId="821124195">
    <w:abstractNumId w:val="74"/>
  </w:num>
  <w:num w:numId="15" w16cid:durableId="464548156">
    <w:abstractNumId w:val="24"/>
  </w:num>
  <w:num w:numId="16" w16cid:durableId="1505851164">
    <w:abstractNumId w:val="21"/>
  </w:num>
  <w:num w:numId="17" w16cid:durableId="1103456286">
    <w:abstractNumId w:val="65"/>
  </w:num>
  <w:num w:numId="18" w16cid:durableId="115759216">
    <w:abstractNumId w:val="35"/>
  </w:num>
  <w:num w:numId="19" w16cid:durableId="341400690">
    <w:abstractNumId w:val="38"/>
  </w:num>
  <w:num w:numId="20" w16cid:durableId="1511213057">
    <w:abstractNumId w:val="49"/>
  </w:num>
  <w:num w:numId="21" w16cid:durableId="462620840">
    <w:abstractNumId w:val="16"/>
  </w:num>
  <w:num w:numId="22" w16cid:durableId="1088576867">
    <w:abstractNumId w:val="30"/>
  </w:num>
  <w:num w:numId="23" w16cid:durableId="2004047252">
    <w:abstractNumId w:val="5"/>
  </w:num>
  <w:num w:numId="24" w16cid:durableId="1347826335">
    <w:abstractNumId w:val="34"/>
  </w:num>
  <w:num w:numId="25" w16cid:durableId="1518497777">
    <w:abstractNumId w:val="67"/>
  </w:num>
  <w:num w:numId="26" w16cid:durableId="504900682">
    <w:abstractNumId w:val="39"/>
  </w:num>
  <w:num w:numId="27" w16cid:durableId="978804456">
    <w:abstractNumId w:val="23"/>
  </w:num>
  <w:num w:numId="28" w16cid:durableId="1999646217">
    <w:abstractNumId w:val="54"/>
  </w:num>
  <w:num w:numId="29" w16cid:durableId="1857379484">
    <w:abstractNumId w:val="77"/>
  </w:num>
  <w:num w:numId="30" w16cid:durableId="1962222486">
    <w:abstractNumId w:val="56"/>
  </w:num>
  <w:num w:numId="31" w16cid:durableId="1767072013">
    <w:abstractNumId w:val="7"/>
  </w:num>
  <w:num w:numId="32" w16cid:durableId="1225750319">
    <w:abstractNumId w:val="71"/>
  </w:num>
  <w:num w:numId="33" w16cid:durableId="434978549">
    <w:abstractNumId w:val="58"/>
  </w:num>
  <w:num w:numId="34" w16cid:durableId="1417551569">
    <w:abstractNumId w:val="69"/>
  </w:num>
  <w:num w:numId="35" w16cid:durableId="263465697">
    <w:abstractNumId w:val="29"/>
  </w:num>
  <w:num w:numId="36" w16cid:durableId="1774587812">
    <w:abstractNumId w:val="42"/>
  </w:num>
  <w:num w:numId="37" w16cid:durableId="755592161">
    <w:abstractNumId w:val="53"/>
  </w:num>
  <w:num w:numId="38" w16cid:durableId="1185287617">
    <w:abstractNumId w:val="13"/>
  </w:num>
  <w:num w:numId="39" w16cid:durableId="1039742387">
    <w:abstractNumId w:val="66"/>
  </w:num>
  <w:num w:numId="40" w16cid:durableId="1703048076">
    <w:abstractNumId w:val="59"/>
  </w:num>
  <w:num w:numId="41" w16cid:durableId="533888682">
    <w:abstractNumId w:val="40"/>
  </w:num>
  <w:num w:numId="42" w16cid:durableId="1753161482">
    <w:abstractNumId w:val="48"/>
  </w:num>
  <w:num w:numId="43" w16cid:durableId="1203639971">
    <w:abstractNumId w:val="78"/>
  </w:num>
  <w:num w:numId="44" w16cid:durableId="1697845442">
    <w:abstractNumId w:val="79"/>
  </w:num>
  <w:num w:numId="45" w16cid:durableId="1445491072">
    <w:abstractNumId w:val="45"/>
  </w:num>
  <w:num w:numId="46" w16cid:durableId="1570991766">
    <w:abstractNumId w:val="41"/>
  </w:num>
  <w:num w:numId="47" w16cid:durableId="1988044701">
    <w:abstractNumId w:val="43"/>
  </w:num>
  <w:num w:numId="48" w16cid:durableId="1853521012">
    <w:abstractNumId w:val="19"/>
  </w:num>
  <w:num w:numId="49" w16cid:durableId="1075863544">
    <w:abstractNumId w:val="80"/>
  </w:num>
  <w:num w:numId="50" w16cid:durableId="1226329791">
    <w:abstractNumId w:val="11"/>
  </w:num>
  <w:num w:numId="51" w16cid:durableId="377973227">
    <w:abstractNumId w:val="17"/>
  </w:num>
  <w:num w:numId="52" w16cid:durableId="140388324">
    <w:abstractNumId w:val="10"/>
  </w:num>
  <w:num w:numId="53" w16cid:durableId="1556774792">
    <w:abstractNumId w:val="64"/>
  </w:num>
  <w:num w:numId="54" w16cid:durableId="60099896">
    <w:abstractNumId w:val="70"/>
  </w:num>
  <w:num w:numId="55" w16cid:durableId="1617053758">
    <w:abstractNumId w:val="73"/>
  </w:num>
  <w:num w:numId="56" w16cid:durableId="96028003">
    <w:abstractNumId w:val="18"/>
  </w:num>
  <w:num w:numId="57" w16cid:durableId="1365790620">
    <w:abstractNumId w:val="25"/>
  </w:num>
  <w:num w:numId="58" w16cid:durableId="1897203164">
    <w:abstractNumId w:val="52"/>
  </w:num>
  <w:num w:numId="59" w16cid:durableId="250043822">
    <w:abstractNumId w:val="60"/>
  </w:num>
  <w:num w:numId="60" w16cid:durableId="482619826">
    <w:abstractNumId w:val="32"/>
  </w:num>
  <w:num w:numId="61" w16cid:durableId="936644614">
    <w:abstractNumId w:val="20"/>
  </w:num>
  <w:num w:numId="62" w16cid:durableId="2146578846">
    <w:abstractNumId w:val="28"/>
  </w:num>
  <w:num w:numId="63" w16cid:durableId="954211717">
    <w:abstractNumId w:val="22"/>
  </w:num>
  <w:num w:numId="64" w16cid:durableId="1370110774">
    <w:abstractNumId w:val="3"/>
  </w:num>
  <w:num w:numId="65" w16cid:durableId="1500803508">
    <w:abstractNumId w:val="26"/>
  </w:num>
  <w:num w:numId="66" w16cid:durableId="841823989">
    <w:abstractNumId w:val="14"/>
  </w:num>
  <w:num w:numId="67" w16cid:durableId="1257444407">
    <w:abstractNumId w:val="8"/>
  </w:num>
  <w:num w:numId="68" w16cid:durableId="533887719">
    <w:abstractNumId w:val="27"/>
  </w:num>
  <w:num w:numId="69" w16cid:durableId="1147547377">
    <w:abstractNumId w:val="1"/>
  </w:num>
  <w:num w:numId="70" w16cid:durableId="472254980">
    <w:abstractNumId w:val="33"/>
  </w:num>
  <w:num w:numId="71" w16cid:durableId="676810022">
    <w:abstractNumId w:val="6"/>
  </w:num>
  <w:num w:numId="72" w16cid:durableId="1027676366">
    <w:abstractNumId w:val="2"/>
  </w:num>
  <w:num w:numId="73" w16cid:durableId="525098424">
    <w:abstractNumId w:val="63"/>
  </w:num>
  <w:num w:numId="74" w16cid:durableId="495808840">
    <w:abstractNumId w:val="44"/>
  </w:num>
  <w:num w:numId="75" w16cid:durableId="699549897">
    <w:abstractNumId w:val="9"/>
  </w:num>
  <w:num w:numId="76" w16cid:durableId="1191142212">
    <w:abstractNumId w:val="4"/>
  </w:num>
  <w:num w:numId="77" w16cid:durableId="1780292065">
    <w:abstractNumId w:val="12"/>
  </w:num>
  <w:num w:numId="78" w16cid:durableId="787623134">
    <w:abstractNumId w:val="15"/>
  </w:num>
  <w:num w:numId="79" w16cid:durableId="1192185750">
    <w:abstractNumId w:val="51"/>
  </w:num>
  <w:num w:numId="80" w16cid:durableId="1657293739">
    <w:abstractNumId w:val="68"/>
  </w:num>
  <w:num w:numId="81" w16cid:durableId="913468697">
    <w:abstractNumId w:val="57"/>
  </w:num>
  <w:num w:numId="82" w16cid:durableId="820343096">
    <w:abstractNumId w:val="7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6E1A"/>
    <w:rsid w:val="000271D7"/>
    <w:rsid w:val="000277B8"/>
    <w:rsid w:val="0003008C"/>
    <w:rsid w:val="00031410"/>
    <w:rsid w:val="000315DB"/>
    <w:rsid w:val="000323D3"/>
    <w:rsid w:val="000325D7"/>
    <w:rsid w:val="000326A4"/>
    <w:rsid w:val="00033473"/>
    <w:rsid w:val="000335C0"/>
    <w:rsid w:val="000337A4"/>
    <w:rsid w:val="00033A99"/>
    <w:rsid w:val="00034425"/>
    <w:rsid w:val="000345ED"/>
    <w:rsid w:val="000346DB"/>
    <w:rsid w:val="00034E1A"/>
    <w:rsid w:val="0003546D"/>
    <w:rsid w:val="000355D9"/>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E8E"/>
    <w:rsid w:val="00051F8C"/>
    <w:rsid w:val="0005219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472"/>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31"/>
    <w:rsid w:val="00070DD7"/>
    <w:rsid w:val="00070ED2"/>
    <w:rsid w:val="00070FC9"/>
    <w:rsid w:val="00070FD5"/>
    <w:rsid w:val="00071225"/>
    <w:rsid w:val="00071A2A"/>
    <w:rsid w:val="00071F64"/>
    <w:rsid w:val="00071FBE"/>
    <w:rsid w:val="0007255E"/>
    <w:rsid w:val="000726A3"/>
    <w:rsid w:val="000727A5"/>
    <w:rsid w:val="000728AB"/>
    <w:rsid w:val="0007311A"/>
    <w:rsid w:val="000733F8"/>
    <w:rsid w:val="000736BD"/>
    <w:rsid w:val="000737E7"/>
    <w:rsid w:val="00074566"/>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962"/>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092"/>
    <w:rsid w:val="000D51C6"/>
    <w:rsid w:val="000D52D5"/>
    <w:rsid w:val="000D5A32"/>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AE"/>
    <w:rsid w:val="001073C0"/>
    <w:rsid w:val="001079B5"/>
    <w:rsid w:val="00107BDD"/>
    <w:rsid w:val="00107E32"/>
    <w:rsid w:val="00110A2F"/>
    <w:rsid w:val="00110D64"/>
    <w:rsid w:val="00111CD7"/>
    <w:rsid w:val="0011216B"/>
    <w:rsid w:val="00112202"/>
    <w:rsid w:val="00112BC2"/>
    <w:rsid w:val="00112C13"/>
    <w:rsid w:val="00112F2F"/>
    <w:rsid w:val="0011321F"/>
    <w:rsid w:val="001137E6"/>
    <w:rsid w:val="001139AD"/>
    <w:rsid w:val="00113ABF"/>
    <w:rsid w:val="00113AC2"/>
    <w:rsid w:val="00113BB6"/>
    <w:rsid w:val="00113D34"/>
    <w:rsid w:val="00113E5C"/>
    <w:rsid w:val="001148A3"/>
    <w:rsid w:val="00114E55"/>
    <w:rsid w:val="00115827"/>
    <w:rsid w:val="00115AB6"/>
    <w:rsid w:val="0011601E"/>
    <w:rsid w:val="0011630E"/>
    <w:rsid w:val="001165F7"/>
    <w:rsid w:val="0011677C"/>
    <w:rsid w:val="00116BAE"/>
    <w:rsid w:val="00116BDB"/>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2"/>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444"/>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54F"/>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60"/>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AEA"/>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06"/>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B95"/>
    <w:rsid w:val="001D66AA"/>
    <w:rsid w:val="001D670C"/>
    <w:rsid w:val="001D6DF3"/>
    <w:rsid w:val="001D6E67"/>
    <w:rsid w:val="001D7800"/>
    <w:rsid w:val="001D783B"/>
    <w:rsid w:val="001E0431"/>
    <w:rsid w:val="001E098C"/>
    <w:rsid w:val="001E09BE"/>
    <w:rsid w:val="001E0DF9"/>
    <w:rsid w:val="001E1366"/>
    <w:rsid w:val="001E1717"/>
    <w:rsid w:val="001E19E5"/>
    <w:rsid w:val="001E1AAE"/>
    <w:rsid w:val="001E33DC"/>
    <w:rsid w:val="001E3485"/>
    <w:rsid w:val="001E3C31"/>
    <w:rsid w:val="001E3E47"/>
    <w:rsid w:val="001E3F5F"/>
    <w:rsid w:val="001E451C"/>
    <w:rsid w:val="001E4BBA"/>
    <w:rsid w:val="001E5301"/>
    <w:rsid w:val="001E53D0"/>
    <w:rsid w:val="001E54C7"/>
    <w:rsid w:val="001E552C"/>
    <w:rsid w:val="001E56A5"/>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DF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1E9F"/>
    <w:rsid w:val="00202075"/>
    <w:rsid w:val="00202381"/>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7FA"/>
    <w:rsid w:val="00213A67"/>
    <w:rsid w:val="002142B1"/>
    <w:rsid w:val="0021433F"/>
    <w:rsid w:val="00214684"/>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564"/>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2EA6"/>
    <w:rsid w:val="00242FFB"/>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B8B"/>
    <w:rsid w:val="00252C48"/>
    <w:rsid w:val="00252EC3"/>
    <w:rsid w:val="0025378B"/>
    <w:rsid w:val="0025449A"/>
    <w:rsid w:val="00255427"/>
    <w:rsid w:val="002554FE"/>
    <w:rsid w:val="002557CA"/>
    <w:rsid w:val="002560E8"/>
    <w:rsid w:val="00256DA8"/>
    <w:rsid w:val="002573F4"/>
    <w:rsid w:val="00257668"/>
    <w:rsid w:val="0025795C"/>
    <w:rsid w:val="00257A2B"/>
    <w:rsid w:val="00257A2D"/>
    <w:rsid w:val="00257A7C"/>
    <w:rsid w:val="00257AA7"/>
    <w:rsid w:val="00257C70"/>
    <w:rsid w:val="002601A8"/>
    <w:rsid w:val="002603E0"/>
    <w:rsid w:val="0026046C"/>
    <w:rsid w:val="00261641"/>
    <w:rsid w:val="00261706"/>
    <w:rsid w:val="00261B3F"/>
    <w:rsid w:val="00261DC6"/>
    <w:rsid w:val="002621A4"/>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9E2"/>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471"/>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29B"/>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4C77"/>
    <w:rsid w:val="002F54C8"/>
    <w:rsid w:val="002F54DA"/>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996"/>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9CC"/>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A01"/>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B87"/>
    <w:rsid w:val="00333C6E"/>
    <w:rsid w:val="00333D3B"/>
    <w:rsid w:val="00334641"/>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A"/>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BAC"/>
    <w:rsid w:val="003B5087"/>
    <w:rsid w:val="003B50AD"/>
    <w:rsid w:val="003B58D8"/>
    <w:rsid w:val="003B6143"/>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870"/>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741"/>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4E9B"/>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5EE"/>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2C"/>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E77"/>
    <w:rsid w:val="00425455"/>
    <w:rsid w:val="00425707"/>
    <w:rsid w:val="00425A77"/>
    <w:rsid w:val="00425E1A"/>
    <w:rsid w:val="004262EA"/>
    <w:rsid w:val="004263FA"/>
    <w:rsid w:val="00426796"/>
    <w:rsid w:val="00426E5D"/>
    <w:rsid w:val="00426F04"/>
    <w:rsid w:val="00427051"/>
    <w:rsid w:val="00427358"/>
    <w:rsid w:val="00427998"/>
    <w:rsid w:val="00427D48"/>
    <w:rsid w:val="004303D1"/>
    <w:rsid w:val="004304B7"/>
    <w:rsid w:val="004305EE"/>
    <w:rsid w:val="00430758"/>
    <w:rsid w:val="00430EB7"/>
    <w:rsid w:val="00431C6C"/>
    <w:rsid w:val="00432233"/>
    <w:rsid w:val="0043241A"/>
    <w:rsid w:val="00432ED1"/>
    <w:rsid w:val="00432FCB"/>
    <w:rsid w:val="004331F6"/>
    <w:rsid w:val="00433790"/>
    <w:rsid w:val="00433827"/>
    <w:rsid w:val="00433E5C"/>
    <w:rsid w:val="004342AD"/>
    <w:rsid w:val="00435229"/>
    <w:rsid w:val="00435340"/>
    <w:rsid w:val="004355A0"/>
    <w:rsid w:val="00435AEA"/>
    <w:rsid w:val="00436569"/>
    <w:rsid w:val="004365CC"/>
    <w:rsid w:val="00436E67"/>
    <w:rsid w:val="00437431"/>
    <w:rsid w:val="004374C1"/>
    <w:rsid w:val="004374F7"/>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27B"/>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95A"/>
    <w:rsid w:val="00454AD9"/>
    <w:rsid w:val="00454B88"/>
    <w:rsid w:val="00454D2E"/>
    <w:rsid w:val="004555E6"/>
    <w:rsid w:val="00455DDB"/>
    <w:rsid w:val="00455E74"/>
    <w:rsid w:val="004560B6"/>
    <w:rsid w:val="0045635C"/>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5226"/>
    <w:rsid w:val="004755E2"/>
    <w:rsid w:val="0047562D"/>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86"/>
    <w:rsid w:val="004939C1"/>
    <w:rsid w:val="004939F4"/>
    <w:rsid w:val="00493DFF"/>
    <w:rsid w:val="00493FBC"/>
    <w:rsid w:val="0049455E"/>
    <w:rsid w:val="0049462A"/>
    <w:rsid w:val="00494932"/>
    <w:rsid w:val="00494C76"/>
    <w:rsid w:val="0049550A"/>
    <w:rsid w:val="00495673"/>
    <w:rsid w:val="00495D15"/>
    <w:rsid w:val="00495D2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751"/>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31"/>
    <w:rsid w:val="004D1833"/>
    <w:rsid w:val="004D1BF1"/>
    <w:rsid w:val="004D1C4D"/>
    <w:rsid w:val="004D1CB4"/>
    <w:rsid w:val="004D1ECD"/>
    <w:rsid w:val="004D2115"/>
    <w:rsid w:val="004D23C0"/>
    <w:rsid w:val="004D2BB8"/>
    <w:rsid w:val="004D2D51"/>
    <w:rsid w:val="004D2F3E"/>
    <w:rsid w:val="004D2F67"/>
    <w:rsid w:val="004D322A"/>
    <w:rsid w:val="004D39E3"/>
    <w:rsid w:val="004D3D51"/>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3342"/>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C9B"/>
    <w:rsid w:val="00502EF5"/>
    <w:rsid w:val="0050314C"/>
    <w:rsid w:val="00503C6B"/>
    <w:rsid w:val="005042C3"/>
    <w:rsid w:val="0050450A"/>
    <w:rsid w:val="0050461F"/>
    <w:rsid w:val="0050473D"/>
    <w:rsid w:val="00504E0D"/>
    <w:rsid w:val="00504E84"/>
    <w:rsid w:val="00505276"/>
    <w:rsid w:val="00505653"/>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9FE"/>
    <w:rsid w:val="00511BAD"/>
    <w:rsid w:val="00512011"/>
    <w:rsid w:val="005121D4"/>
    <w:rsid w:val="0051239C"/>
    <w:rsid w:val="005124EF"/>
    <w:rsid w:val="005133C6"/>
    <w:rsid w:val="00513781"/>
    <w:rsid w:val="00513BF2"/>
    <w:rsid w:val="00513C19"/>
    <w:rsid w:val="00513CF7"/>
    <w:rsid w:val="00513D75"/>
    <w:rsid w:val="00514089"/>
    <w:rsid w:val="005143FA"/>
    <w:rsid w:val="00514CCD"/>
    <w:rsid w:val="00514CD3"/>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1BEB"/>
    <w:rsid w:val="005324E3"/>
    <w:rsid w:val="0053256F"/>
    <w:rsid w:val="005327EC"/>
    <w:rsid w:val="00532812"/>
    <w:rsid w:val="00532948"/>
    <w:rsid w:val="00532D3C"/>
    <w:rsid w:val="0053303D"/>
    <w:rsid w:val="0053348D"/>
    <w:rsid w:val="005338B0"/>
    <w:rsid w:val="00533966"/>
    <w:rsid w:val="00534129"/>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F2C"/>
    <w:rsid w:val="00542157"/>
    <w:rsid w:val="005428ED"/>
    <w:rsid w:val="0054339C"/>
    <w:rsid w:val="00543520"/>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0EF3"/>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8AD"/>
    <w:rsid w:val="00555B3B"/>
    <w:rsid w:val="005564D6"/>
    <w:rsid w:val="00556958"/>
    <w:rsid w:val="00556AC1"/>
    <w:rsid w:val="00556B86"/>
    <w:rsid w:val="00556EA9"/>
    <w:rsid w:val="00556F0E"/>
    <w:rsid w:val="005579B0"/>
    <w:rsid w:val="005602DF"/>
    <w:rsid w:val="005603AB"/>
    <w:rsid w:val="0056044F"/>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EBE"/>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A8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174"/>
    <w:rsid w:val="0059741C"/>
    <w:rsid w:val="00597473"/>
    <w:rsid w:val="005974D7"/>
    <w:rsid w:val="00597523"/>
    <w:rsid w:val="00597A6B"/>
    <w:rsid w:val="00597A8F"/>
    <w:rsid w:val="00597ACB"/>
    <w:rsid w:val="00597DE2"/>
    <w:rsid w:val="00597F8F"/>
    <w:rsid w:val="005A02DB"/>
    <w:rsid w:val="005A0323"/>
    <w:rsid w:val="005A0380"/>
    <w:rsid w:val="005A06AB"/>
    <w:rsid w:val="005A0975"/>
    <w:rsid w:val="005A0E44"/>
    <w:rsid w:val="005A0EBE"/>
    <w:rsid w:val="005A1510"/>
    <w:rsid w:val="005A16E7"/>
    <w:rsid w:val="005A18C2"/>
    <w:rsid w:val="005A1930"/>
    <w:rsid w:val="005A22CE"/>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46D"/>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632"/>
    <w:rsid w:val="005D17B1"/>
    <w:rsid w:val="005D1805"/>
    <w:rsid w:val="005D1A30"/>
    <w:rsid w:val="005D1ACB"/>
    <w:rsid w:val="005D1B7A"/>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36D6"/>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69"/>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BE4"/>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69E"/>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BDF"/>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762"/>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85"/>
    <w:rsid w:val="00663FD5"/>
    <w:rsid w:val="0066412A"/>
    <w:rsid w:val="00664A5C"/>
    <w:rsid w:val="00664DA2"/>
    <w:rsid w:val="006651BC"/>
    <w:rsid w:val="006652AC"/>
    <w:rsid w:val="0066560B"/>
    <w:rsid w:val="00665A29"/>
    <w:rsid w:val="00665C70"/>
    <w:rsid w:val="00666078"/>
    <w:rsid w:val="0066608F"/>
    <w:rsid w:val="00666502"/>
    <w:rsid w:val="00666671"/>
    <w:rsid w:val="00666FA9"/>
    <w:rsid w:val="00667210"/>
    <w:rsid w:val="006677E8"/>
    <w:rsid w:val="00667820"/>
    <w:rsid w:val="00667AB2"/>
    <w:rsid w:val="00670107"/>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211"/>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3A"/>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64B"/>
    <w:rsid w:val="006B1DA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74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DF4"/>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747"/>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305"/>
    <w:rsid w:val="00703703"/>
    <w:rsid w:val="00703AA6"/>
    <w:rsid w:val="00703C1A"/>
    <w:rsid w:val="00703E73"/>
    <w:rsid w:val="00703EDA"/>
    <w:rsid w:val="00704256"/>
    <w:rsid w:val="0070436D"/>
    <w:rsid w:val="00704397"/>
    <w:rsid w:val="007045D8"/>
    <w:rsid w:val="0070535C"/>
    <w:rsid w:val="007053E1"/>
    <w:rsid w:val="007058ED"/>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DFA"/>
    <w:rsid w:val="00711F15"/>
    <w:rsid w:val="00711F27"/>
    <w:rsid w:val="00712541"/>
    <w:rsid w:val="007129CD"/>
    <w:rsid w:val="00712ABE"/>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3"/>
    <w:rsid w:val="007210AD"/>
    <w:rsid w:val="007211B5"/>
    <w:rsid w:val="0072123F"/>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8A1"/>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88"/>
    <w:rsid w:val="007774B5"/>
    <w:rsid w:val="007776B2"/>
    <w:rsid w:val="0077790C"/>
    <w:rsid w:val="00777D5A"/>
    <w:rsid w:val="007801CF"/>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207"/>
    <w:rsid w:val="007933FE"/>
    <w:rsid w:val="00793722"/>
    <w:rsid w:val="0079388E"/>
    <w:rsid w:val="00793907"/>
    <w:rsid w:val="00793926"/>
    <w:rsid w:val="007939F1"/>
    <w:rsid w:val="00793A1A"/>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B1"/>
    <w:rsid w:val="007B3C4E"/>
    <w:rsid w:val="007B3CC2"/>
    <w:rsid w:val="007B45E9"/>
    <w:rsid w:val="007B527E"/>
    <w:rsid w:val="007B5361"/>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0FDA"/>
    <w:rsid w:val="007C157F"/>
    <w:rsid w:val="007C30D7"/>
    <w:rsid w:val="007C3187"/>
    <w:rsid w:val="007C31A8"/>
    <w:rsid w:val="007C33F1"/>
    <w:rsid w:val="007C372F"/>
    <w:rsid w:val="007C3A58"/>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55D"/>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B1"/>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183"/>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D7F"/>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37B"/>
    <w:rsid w:val="008717BD"/>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88"/>
    <w:rsid w:val="00880DAD"/>
    <w:rsid w:val="00881056"/>
    <w:rsid w:val="008813C1"/>
    <w:rsid w:val="0088143F"/>
    <w:rsid w:val="0088160C"/>
    <w:rsid w:val="00881C81"/>
    <w:rsid w:val="0088271E"/>
    <w:rsid w:val="008827C2"/>
    <w:rsid w:val="00882EDB"/>
    <w:rsid w:val="00883DBA"/>
    <w:rsid w:val="00883ECD"/>
    <w:rsid w:val="0088402F"/>
    <w:rsid w:val="00884526"/>
    <w:rsid w:val="008845B3"/>
    <w:rsid w:val="008845F1"/>
    <w:rsid w:val="00884999"/>
    <w:rsid w:val="00884EDC"/>
    <w:rsid w:val="008850D9"/>
    <w:rsid w:val="0088510D"/>
    <w:rsid w:val="00885265"/>
    <w:rsid w:val="00885777"/>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A25"/>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0CDE"/>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DA1"/>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646"/>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925"/>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B7F"/>
    <w:rsid w:val="00940D79"/>
    <w:rsid w:val="00940F6D"/>
    <w:rsid w:val="00941054"/>
    <w:rsid w:val="009419BF"/>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05D"/>
    <w:rsid w:val="009561EB"/>
    <w:rsid w:val="00956527"/>
    <w:rsid w:val="0095691C"/>
    <w:rsid w:val="00956B01"/>
    <w:rsid w:val="00956BD4"/>
    <w:rsid w:val="00956E92"/>
    <w:rsid w:val="00956F79"/>
    <w:rsid w:val="009571B8"/>
    <w:rsid w:val="00957656"/>
    <w:rsid w:val="0095765D"/>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076"/>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1328"/>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9A"/>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4EC"/>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6DC"/>
    <w:rsid w:val="009C37F3"/>
    <w:rsid w:val="009C3FCB"/>
    <w:rsid w:val="009C436B"/>
    <w:rsid w:val="009C4399"/>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1A9"/>
    <w:rsid w:val="009D349C"/>
    <w:rsid w:val="009D351D"/>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B1C"/>
    <w:rsid w:val="009F0F1A"/>
    <w:rsid w:val="009F12C0"/>
    <w:rsid w:val="009F14E0"/>
    <w:rsid w:val="009F1728"/>
    <w:rsid w:val="009F191F"/>
    <w:rsid w:val="009F1948"/>
    <w:rsid w:val="009F1AF4"/>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18"/>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114"/>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3F6"/>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A33"/>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126"/>
    <w:rsid w:val="00AA7606"/>
    <w:rsid w:val="00AA7EEE"/>
    <w:rsid w:val="00AB028F"/>
    <w:rsid w:val="00AB111D"/>
    <w:rsid w:val="00AB113E"/>
    <w:rsid w:val="00AB18EB"/>
    <w:rsid w:val="00AB1A19"/>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74"/>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250"/>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089"/>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B04"/>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FF7"/>
    <w:rsid w:val="00AF716C"/>
    <w:rsid w:val="00AF785D"/>
    <w:rsid w:val="00AF7894"/>
    <w:rsid w:val="00AF798C"/>
    <w:rsid w:val="00AF7A78"/>
    <w:rsid w:val="00B0042C"/>
    <w:rsid w:val="00B00B46"/>
    <w:rsid w:val="00B00BCE"/>
    <w:rsid w:val="00B01726"/>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232"/>
    <w:rsid w:val="00B13383"/>
    <w:rsid w:val="00B1384E"/>
    <w:rsid w:val="00B13DF5"/>
    <w:rsid w:val="00B14A27"/>
    <w:rsid w:val="00B14A85"/>
    <w:rsid w:val="00B14F9F"/>
    <w:rsid w:val="00B1567E"/>
    <w:rsid w:val="00B15A12"/>
    <w:rsid w:val="00B15AFA"/>
    <w:rsid w:val="00B15C5B"/>
    <w:rsid w:val="00B16414"/>
    <w:rsid w:val="00B16CF8"/>
    <w:rsid w:val="00B17438"/>
    <w:rsid w:val="00B17E8E"/>
    <w:rsid w:val="00B17EF9"/>
    <w:rsid w:val="00B203F1"/>
    <w:rsid w:val="00B206AB"/>
    <w:rsid w:val="00B20ACA"/>
    <w:rsid w:val="00B21501"/>
    <w:rsid w:val="00B21603"/>
    <w:rsid w:val="00B21867"/>
    <w:rsid w:val="00B22053"/>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3BC"/>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AF0"/>
    <w:rsid w:val="00B34B6F"/>
    <w:rsid w:val="00B34D2C"/>
    <w:rsid w:val="00B3563F"/>
    <w:rsid w:val="00B35DC4"/>
    <w:rsid w:val="00B36409"/>
    <w:rsid w:val="00B37528"/>
    <w:rsid w:val="00B37A74"/>
    <w:rsid w:val="00B37ADA"/>
    <w:rsid w:val="00B37B2B"/>
    <w:rsid w:val="00B37B47"/>
    <w:rsid w:val="00B400C4"/>
    <w:rsid w:val="00B403E9"/>
    <w:rsid w:val="00B40C49"/>
    <w:rsid w:val="00B40E27"/>
    <w:rsid w:val="00B412C6"/>
    <w:rsid w:val="00B412EB"/>
    <w:rsid w:val="00B413AF"/>
    <w:rsid w:val="00B4143C"/>
    <w:rsid w:val="00B4182A"/>
    <w:rsid w:val="00B41C6F"/>
    <w:rsid w:val="00B42219"/>
    <w:rsid w:val="00B423A4"/>
    <w:rsid w:val="00B42C75"/>
    <w:rsid w:val="00B42FA5"/>
    <w:rsid w:val="00B4371B"/>
    <w:rsid w:val="00B43B3F"/>
    <w:rsid w:val="00B43DF7"/>
    <w:rsid w:val="00B44044"/>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69F"/>
    <w:rsid w:val="00B60AB5"/>
    <w:rsid w:val="00B60AF0"/>
    <w:rsid w:val="00B60CFB"/>
    <w:rsid w:val="00B60F7F"/>
    <w:rsid w:val="00B6125D"/>
    <w:rsid w:val="00B614D9"/>
    <w:rsid w:val="00B61959"/>
    <w:rsid w:val="00B61D01"/>
    <w:rsid w:val="00B61FD9"/>
    <w:rsid w:val="00B62163"/>
    <w:rsid w:val="00B62A58"/>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2A6"/>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64F7"/>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175"/>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640"/>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713"/>
    <w:rsid w:val="00BC39A3"/>
    <w:rsid w:val="00BC3C45"/>
    <w:rsid w:val="00BC3D35"/>
    <w:rsid w:val="00BC3E22"/>
    <w:rsid w:val="00BC42ED"/>
    <w:rsid w:val="00BC4A1F"/>
    <w:rsid w:val="00BC4AA5"/>
    <w:rsid w:val="00BC4AE7"/>
    <w:rsid w:val="00BC4B3C"/>
    <w:rsid w:val="00BC53A0"/>
    <w:rsid w:val="00BC55C0"/>
    <w:rsid w:val="00BC5697"/>
    <w:rsid w:val="00BC5780"/>
    <w:rsid w:val="00BC583F"/>
    <w:rsid w:val="00BC590B"/>
    <w:rsid w:val="00BC5A58"/>
    <w:rsid w:val="00BC604E"/>
    <w:rsid w:val="00BC67E3"/>
    <w:rsid w:val="00BC6F42"/>
    <w:rsid w:val="00BC723E"/>
    <w:rsid w:val="00BC7438"/>
    <w:rsid w:val="00BC7632"/>
    <w:rsid w:val="00BC7DB0"/>
    <w:rsid w:val="00BD0B58"/>
    <w:rsid w:val="00BD0D56"/>
    <w:rsid w:val="00BD16F4"/>
    <w:rsid w:val="00BD1FD1"/>
    <w:rsid w:val="00BD2148"/>
    <w:rsid w:val="00BD2899"/>
    <w:rsid w:val="00BD2A11"/>
    <w:rsid w:val="00BD2B13"/>
    <w:rsid w:val="00BD2D16"/>
    <w:rsid w:val="00BD2DBB"/>
    <w:rsid w:val="00BD3541"/>
    <w:rsid w:val="00BD35EF"/>
    <w:rsid w:val="00BD3606"/>
    <w:rsid w:val="00BD3828"/>
    <w:rsid w:val="00BD386D"/>
    <w:rsid w:val="00BD3D42"/>
    <w:rsid w:val="00BD3DD8"/>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0E64"/>
    <w:rsid w:val="00BE11B1"/>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DF9"/>
    <w:rsid w:val="00BF20A7"/>
    <w:rsid w:val="00BF2533"/>
    <w:rsid w:val="00BF26C0"/>
    <w:rsid w:val="00BF2C05"/>
    <w:rsid w:val="00BF3076"/>
    <w:rsid w:val="00BF335F"/>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478B"/>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AE0"/>
    <w:rsid w:val="00C24B21"/>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570"/>
    <w:rsid w:val="00C417CA"/>
    <w:rsid w:val="00C419A5"/>
    <w:rsid w:val="00C41AB7"/>
    <w:rsid w:val="00C41D59"/>
    <w:rsid w:val="00C420AF"/>
    <w:rsid w:val="00C420C9"/>
    <w:rsid w:val="00C42551"/>
    <w:rsid w:val="00C42871"/>
    <w:rsid w:val="00C42D48"/>
    <w:rsid w:val="00C42DAC"/>
    <w:rsid w:val="00C43283"/>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79C"/>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2BBC"/>
    <w:rsid w:val="00C5300F"/>
    <w:rsid w:val="00C5312A"/>
    <w:rsid w:val="00C53390"/>
    <w:rsid w:val="00C5355E"/>
    <w:rsid w:val="00C5364B"/>
    <w:rsid w:val="00C53A10"/>
    <w:rsid w:val="00C53EBF"/>
    <w:rsid w:val="00C53F30"/>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C01"/>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11B"/>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2E2"/>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91C"/>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57F"/>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D4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0AB"/>
    <w:rsid w:val="00D1119F"/>
    <w:rsid w:val="00D11368"/>
    <w:rsid w:val="00D1138E"/>
    <w:rsid w:val="00D114DD"/>
    <w:rsid w:val="00D115E7"/>
    <w:rsid w:val="00D118D8"/>
    <w:rsid w:val="00D11DB4"/>
    <w:rsid w:val="00D12281"/>
    <w:rsid w:val="00D12382"/>
    <w:rsid w:val="00D12766"/>
    <w:rsid w:val="00D1280F"/>
    <w:rsid w:val="00D12A58"/>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807"/>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AC4"/>
    <w:rsid w:val="00D27F01"/>
    <w:rsid w:val="00D305EA"/>
    <w:rsid w:val="00D30BC9"/>
    <w:rsid w:val="00D30D54"/>
    <w:rsid w:val="00D30FCB"/>
    <w:rsid w:val="00D30FFE"/>
    <w:rsid w:val="00D312F3"/>
    <w:rsid w:val="00D319D5"/>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0AD2"/>
    <w:rsid w:val="00D412FA"/>
    <w:rsid w:val="00D4193E"/>
    <w:rsid w:val="00D41ACA"/>
    <w:rsid w:val="00D41EDF"/>
    <w:rsid w:val="00D42113"/>
    <w:rsid w:val="00D421FB"/>
    <w:rsid w:val="00D42A16"/>
    <w:rsid w:val="00D4301A"/>
    <w:rsid w:val="00D43431"/>
    <w:rsid w:val="00D43C03"/>
    <w:rsid w:val="00D441FB"/>
    <w:rsid w:val="00D44588"/>
    <w:rsid w:val="00D44E01"/>
    <w:rsid w:val="00D44E65"/>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E8B"/>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28F"/>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4E6D"/>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4AD"/>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08DC"/>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515"/>
    <w:rsid w:val="00DD7932"/>
    <w:rsid w:val="00DD796F"/>
    <w:rsid w:val="00DD7AF9"/>
    <w:rsid w:val="00DD7B25"/>
    <w:rsid w:val="00DD7CE7"/>
    <w:rsid w:val="00DD7F99"/>
    <w:rsid w:val="00DE03E9"/>
    <w:rsid w:val="00DE0878"/>
    <w:rsid w:val="00DE0B32"/>
    <w:rsid w:val="00DE0D2A"/>
    <w:rsid w:val="00DE1082"/>
    <w:rsid w:val="00DE1104"/>
    <w:rsid w:val="00DE111F"/>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A8A"/>
    <w:rsid w:val="00DE7D4B"/>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896"/>
    <w:rsid w:val="00DF7EE6"/>
    <w:rsid w:val="00E00591"/>
    <w:rsid w:val="00E0077B"/>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157"/>
    <w:rsid w:val="00E07219"/>
    <w:rsid w:val="00E07301"/>
    <w:rsid w:val="00E07305"/>
    <w:rsid w:val="00E07318"/>
    <w:rsid w:val="00E07A82"/>
    <w:rsid w:val="00E07B7D"/>
    <w:rsid w:val="00E103F4"/>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917"/>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6A9"/>
    <w:rsid w:val="00E8381B"/>
    <w:rsid w:val="00E838C7"/>
    <w:rsid w:val="00E83A13"/>
    <w:rsid w:val="00E83BDE"/>
    <w:rsid w:val="00E8475F"/>
    <w:rsid w:val="00E84DDA"/>
    <w:rsid w:val="00E861D0"/>
    <w:rsid w:val="00E86A3A"/>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859"/>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1BD"/>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14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363"/>
    <w:rsid w:val="00EC67A6"/>
    <w:rsid w:val="00EC7201"/>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D7E61"/>
    <w:rsid w:val="00EE0970"/>
    <w:rsid w:val="00EE0C4A"/>
    <w:rsid w:val="00EE1120"/>
    <w:rsid w:val="00EE15DA"/>
    <w:rsid w:val="00EE1673"/>
    <w:rsid w:val="00EE1AAB"/>
    <w:rsid w:val="00EE1CE5"/>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6D79"/>
    <w:rsid w:val="00EF75A0"/>
    <w:rsid w:val="00EF7B0C"/>
    <w:rsid w:val="00EF7E60"/>
    <w:rsid w:val="00F0010F"/>
    <w:rsid w:val="00F0022D"/>
    <w:rsid w:val="00F00471"/>
    <w:rsid w:val="00F006DC"/>
    <w:rsid w:val="00F00976"/>
    <w:rsid w:val="00F00AB3"/>
    <w:rsid w:val="00F01461"/>
    <w:rsid w:val="00F0152F"/>
    <w:rsid w:val="00F018E5"/>
    <w:rsid w:val="00F01909"/>
    <w:rsid w:val="00F01C47"/>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58"/>
    <w:rsid w:val="00F113D3"/>
    <w:rsid w:val="00F1147B"/>
    <w:rsid w:val="00F116CB"/>
    <w:rsid w:val="00F119D3"/>
    <w:rsid w:val="00F11A63"/>
    <w:rsid w:val="00F11DE5"/>
    <w:rsid w:val="00F121BF"/>
    <w:rsid w:val="00F12C56"/>
    <w:rsid w:val="00F13BB3"/>
    <w:rsid w:val="00F13FE4"/>
    <w:rsid w:val="00F14130"/>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956"/>
    <w:rsid w:val="00F35D27"/>
    <w:rsid w:val="00F35DA2"/>
    <w:rsid w:val="00F35E93"/>
    <w:rsid w:val="00F3604B"/>
    <w:rsid w:val="00F365FF"/>
    <w:rsid w:val="00F366FC"/>
    <w:rsid w:val="00F367C2"/>
    <w:rsid w:val="00F36A6F"/>
    <w:rsid w:val="00F36BCA"/>
    <w:rsid w:val="00F37012"/>
    <w:rsid w:val="00F372A6"/>
    <w:rsid w:val="00F374B3"/>
    <w:rsid w:val="00F3764A"/>
    <w:rsid w:val="00F40172"/>
    <w:rsid w:val="00F40A5D"/>
    <w:rsid w:val="00F40BB1"/>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493"/>
    <w:rsid w:val="00F52A06"/>
    <w:rsid w:val="00F52E0B"/>
    <w:rsid w:val="00F5337A"/>
    <w:rsid w:val="00F5369B"/>
    <w:rsid w:val="00F539EB"/>
    <w:rsid w:val="00F53D5A"/>
    <w:rsid w:val="00F54633"/>
    <w:rsid w:val="00F546D8"/>
    <w:rsid w:val="00F54926"/>
    <w:rsid w:val="00F55025"/>
    <w:rsid w:val="00F5569F"/>
    <w:rsid w:val="00F55A73"/>
    <w:rsid w:val="00F56750"/>
    <w:rsid w:val="00F56818"/>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6F87"/>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ADA"/>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4A6"/>
    <w:rsid w:val="00F915C3"/>
    <w:rsid w:val="00F917F0"/>
    <w:rsid w:val="00F91A09"/>
    <w:rsid w:val="00F92129"/>
    <w:rsid w:val="00F922D9"/>
    <w:rsid w:val="00F9283B"/>
    <w:rsid w:val="00F928BD"/>
    <w:rsid w:val="00F92E31"/>
    <w:rsid w:val="00F92F6F"/>
    <w:rsid w:val="00F9330C"/>
    <w:rsid w:val="00F933DB"/>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1B"/>
    <w:rsid w:val="00FA62D7"/>
    <w:rsid w:val="00FA63E7"/>
    <w:rsid w:val="00FA65F2"/>
    <w:rsid w:val="00FA688D"/>
    <w:rsid w:val="00FA6F8C"/>
    <w:rsid w:val="00FA72AB"/>
    <w:rsid w:val="00FA72CC"/>
    <w:rsid w:val="00FA7697"/>
    <w:rsid w:val="00FA7C29"/>
    <w:rsid w:val="00FA7D25"/>
    <w:rsid w:val="00FB0174"/>
    <w:rsid w:val="00FB0A86"/>
    <w:rsid w:val="00FB0F07"/>
    <w:rsid w:val="00FB1241"/>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037"/>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963"/>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E7CBA"/>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3EB"/>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paragraph" w:customStyle="1" w:styleId="Comments">
    <w:name w:val="Comments"/>
    <w:basedOn w:val="Normal"/>
    <w:link w:val="CommentsChar"/>
    <w:qFormat/>
    <w:rsid w:val="003B4BAC"/>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3B4BAC"/>
    <w:rPr>
      <w:rFonts w:ascii="Arial" w:eastAsia="MS Mincho" w:hAnsi="Arial"/>
      <w:i/>
      <w:noProof/>
      <w:sz w:val="18"/>
      <w:szCs w:val="24"/>
      <w:lang w:val="en-GB" w:eastAsia="en-GB"/>
    </w:rPr>
  </w:style>
  <w:style w:type="numbering" w:customStyle="1" w:styleId="CurrentList1">
    <w:name w:val="Current List1"/>
    <w:uiPriority w:val="99"/>
    <w:rsid w:val="00A05114"/>
    <w:pPr>
      <w:numPr>
        <w:numId w:val="55"/>
      </w:numPr>
    </w:pPr>
  </w:style>
  <w:style w:type="numbering" w:customStyle="1" w:styleId="CurrentList2">
    <w:name w:val="Current List2"/>
    <w:uiPriority w:val="99"/>
    <w:rsid w:val="007E055D"/>
    <w:pPr>
      <w:numPr>
        <w:numId w:val="64"/>
      </w:numPr>
    </w:pPr>
  </w:style>
  <w:style w:type="numbering" w:customStyle="1" w:styleId="CurrentList3">
    <w:name w:val="Current List3"/>
    <w:uiPriority w:val="99"/>
    <w:rsid w:val="009C4399"/>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3530">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977883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8464807">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1227520">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589093">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99809226">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29911333">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967182">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77229158">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67621179">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5948165">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8902681">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7853179">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0879301">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21bis-e\Docs\R2-230385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7</Pages>
  <Words>2774</Words>
  <Characters>15814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580</cp:revision>
  <cp:lastPrinted>2017-03-22T08:13:00Z</cp:lastPrinted>
  <dcterms:created xsi:type="dcterms:W3CDTF">2022-09-23T09:14:00Z</dcterms:created>
  <dcterms:modified xsi:type="dcterms:W3CDTF">2023-08-10T11:22:00Z</dcterms:modified>
</cp:coreProperties>
</file>